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3EDECF" w14:textId="77777777" w:rsidR="004241AC" w:rsidRPr="002A3F14" w:rsidRDefault="00310FF9" w:rsidP="004241AC">
      <w:pPr>
        <w:spacing w:after="0" w:line="240" w:lineRule="auto"/>
        <w:jc w:val="center"/>
        <w:rPr>
          <w:lang w:val="en-US"/>
        </w:rPr>
      </w:pPr>
      <w:r>
        <w:rPr>
          <w:noProof/>
          <w:lang w:eastAsia="it-IT"/>
        </w:rPr>
        <w:drawing>
          <wp:inline distT="0" distB="0" distL="0" distR="0" wp14:anchorId="0C27A9ED" wp14:editId="68AEB094">
            <wp:extent cx="2542540" cy="94297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42540" cy="942975"/>
                    </a:xfrm>
                    <a:prstGeom prst="rect">
                      <a:avLst/>
                    </a:prstGeom>
                    <a:noFill/>
                  </pic:spPr>
                </pic:pic>
              </a:graphicData>
            </a:graphic>
          </wp:inline>
        </w:drawing>
      </w:r>
    </w:p>
    <w:p w14:paraId="4BF66A5D" w14:textId="77777777" w:rsidR="004241AC" w:rsidRDefault="004241AC" w:rsidP="004241AC">
      <w:pPr>
        <w:spacing w:after="0" w:line="240" w:lineRule="auto"/>
        <w:jc w:val="center"/>
        <w:rPr>
          <w:b/>
        </w:rPr>
      </w:pPr>
    </w:p>
    <w:p w14:paraId="475B5058" w14:textId="77777777" w:rsidR="00823F4C" w:rsidRPr="0023246C" w:rsidRDefault="00823F4C" w:rsidP="00823F4C">
      <w:pPr>
        <w:spacing w:after="0" w:line="240" w:lineRule="auto"/>
        <w:jc w:val="center"/>
        <w:rPr>
          <w:b/>
          <w:sz w:val="24"/>
          <w:szCs w:val="24"/>
        </w:rPr>
      </w:pPr>
      <w:bookmarkStart w:id="0" w:name="Text15"/>
      <w:r w:rsidRPr="0023246C">
        <w:rPr>
          <w:b/>
          <w:sz w:val="24"/>
          <w:szCs w:val="24"/>
        </w:rPr>
        <w:t>Relazione Pubblica di Valutazione</w:t>
      </w:r>
    </w:p>
    <w:p w14:paraId="152622A7" w14:textId="77777777" w:rsidR="004241AC" w:rsidRDefault="004241AC" w:rsidP="004241AC">
      <w:pPr>
        <w:autoSpaceDE w:val="0"/>
        <w:autoSpaceDN w:val="0"/>
        <w:adjustRightInd w:val="0"/>
        <w:spacing w:after="0" w:line="240" w:lineRule="auto"/>
        <w:jc w:val="center"/>
        <w:rPr>
          <w:b/>
          <w:highlight w:val="yellow"/>
        </w:rPr>
      </w:pPr>
    </w:p>
    <w:p w14:paraId="730C1C9C" w14:textId="77777777" w:rsidR="00823F4C" w:rsidRDefault="00823F4C" w:rsidP="004241AC">
      <w:pPr>
        <w:autoSpaceDE w:val="0"/>
        <w:autoSpaceDN w:val="0"/>
        <w:adjustRightInd w:val="0"/>
        <w:spacing w:after="0" w:line="240" w:lineRule="auto"/>
        <w:jc w:val="center"/>
        <w:rPr>
          <w:b/>
          <w:highlight w:val="yellow"/>
        </w:rPr>
      </w:pPr>
    </w:p>
    <w:p w14:paraId="32B27280" w14:textId="77777777" w:rsidR="00751D0F" w:rsidRDefault="00751D0F" w:rsidP="004241AC">
      <w:pPr>
        <w:widowControl w:val="0"/>
        <w:spacing w:after="0" w:line="240" w:lineRule="auto"/>
        <w:jc w:val="center"/>
        <w:rPr>
          <w:b/>
          <w:sz w:val="24"/>
          <w:szCs w:val="24"/>
        </w:rPr>
      </w:pPr>
    </w:p>
    <w:p w14:paraId="02DF6CA6" w14:textId="77777777" w:rsidR="007E35A8" w:rsidRPr="00751D0F" w:rsidRDefault="00A64AC7" w:rsidP="004241AC">
      <w:pPr>
        <w:widowControl w:val="0"/>
        <w:spacing w:after="0" w:line="240" w:lineRule="auto"/>
        <w:jc w:val="center"/>
        <w:rPr>
          <w:b/>
          <w:sz w:val="24"/>
          <w:szCs w:val="24"/>
        </w:rPr>
      </w:pPr>
      <w:r w:rsidRPr="00751D0F">
        <w:rPr>
          <w:b/>
          <w:sz w:val="24"/>
          <w:szCs w:val="24"/>
        </w:rPr>
        <w:t xml:space="preserve">FEIBA </w:t>
      </w:r>
    </w:p>
    <w:p w14:paraId="5057CF1B" w14:textId="77777777" w:rsidR="004609F8" w:rsidRDefault="00A64AC7" w:rsidP="004241AC">
      <w:pPr>
        <w:widowControl w:val="0"/>
        <w:spacing w:after="0" w:line="240" w:lineRule="auto"/>
        <w:jc w:val="center"/>
        <w:rPr>
          <w:b/>
          <w:sz w:val="24"/>
          <w:szCs w:val="24"/>
        </w:rPr>
      </w:pPr>
      <w:r w:rsidRPr="00751D0F">
        <w:rPr>
          <w:b/>
          <w:sz w:val="24"/>
          <w:szCs w:val="24"/>
        </w:rPr>
        <w:t>100 UF/mL</w:t>
      </w:r>
      <w:r w:rsidR="00310FF9" w:rsidRPr="00751D0F">
        <w:rPr>
          <w:b/>
          <w:sz w:val="24"/>
          <w:szCs w:val="24"/>
        </w:rPr>
        <w:t>, polvere e solve</w:t>
      </w:r>
      <w:r w:rsidR="006020F1">
        <w:rPr>
          <w:b/>
          <w:sz w:val="24"/>
          <w:szCs w:val="24"/>
        </w:rPr>
        <w:t>nte per soluzione per infusione</w:t>
      </w:r>
    </w:p>
    <w:p w14:paraId="53B11E7E" w14:textId="77777777" w:rsidR="006020F1" w:rsidRPr="006020F1" w:rsidRDefault="006020F1" w:rsidP="004241AC">
      <w:pPr>
        <w:widowControl w:val="0"/>
        <w:spacing w:after="0" w:line="240" w:lineRule="auto"/>
        <w:jc w:val="center"/>
        <w:rPr>
          <w:b/>
          <w:snapToGrid w:val="0"/>
          <w:sz w:val="24"/>
          <w:szCs w:val="24"/>
        </w:rPr>
      </w:pPr>
      <w:r w:rsidRPr="006020F1">
        <w:rPr>
          <w:b/>
          <w:snapToGrid w:val="0"/>
          <w:sz w:val="24"/>
          <w:szCs w:val="24"/>
        </w:rPr>
        <w:t>(Complesso protrombinico attivato)</w:t>
      </w:r>
    </w:p>
    <w:p w14:paraId="4CEBB6E4" w14:textId="77777777" w:rsidR="004241AC" w:rsidRPr="00A966D1" w:rsidRDefault="004241AC" w:rsidP="004241AC">
      <w:pPr>
        <w:widowControl w:val="0"/>
        <w:spacing w:after="0" w:line="240" w:lineRule="auto"/>
        <w:jc w:val="center"/>
        <w:rPr>
          <w:snapToGrid w:val="0"/>
        </w:rPr>
      </w:pPr>
    </w:p>
    <w:p w14:paraId="09D430FB" w14:textId="77777777" w:rsidR="004241AC" w:rsidRDefault="004241AC" w:rsidP="004241AC">
      <w:pPr>
        <w:autoSpaceDE w:val="0"/>
        <w:autoSpaceDN w:val="0"/>
        <w:adjustRightInd w:val="0"/>
        <w:spacing w:after="0" w:line="240" w:lineRule="auto"/>
        <w:jc w:val="center"/>
        <w:rPr>
          <w:b/>
        </w:rPr>
      </w:pPr>
    </w:p>
    <w:p w14:paraId="2C67D318" w14:textId="77777777" w:rsidR="004609F8" w:rsidRPr="00751D0F" w:rsidRDefault="004609F8" w:rsidP="004241AC">
      <w:pPr>
        <w:autoSpaceDE w:val="0"/>
        <w:autoSpaceDN w:val="0"/>
        <w:adjustRightInd w:val="0"/>
        <w:spacing w:after="0" w:line="240" w:lineRule="auto"/>
        <w:jc w:val="center"/>
        <w:rPr>
          <w:b/>
          <w:sz w:val="24"/>
          <w:szCs w:val="24"/>
        </w:rPr>
      </w:pPr>
    </w:p>
    <w:p w14:paraId="261A0541" w14:textId="77777777" w:rsidR="00751D0F" w:rsidRDefault="00751D0F" w:rsidP="004241AC">
      <w:pPr>
        <w:spacing w:after="0" w:line="240" w:lineRule="auto"/>
        <w:jc w:val="center"/>
        <w:rPr>
          <w:rFonts w:cs="Arial"/>
          <w:b/>
          <w:sz w:val="24"/>
          <w:szCs w:val="24"/>
        </w:rPr>
      </w:pPr>
      <w:r>
        <w:rPr>
          <w:rFonts w:cs="Arial"/>
          <w:b/>
          <w:sz w:val="24"/>
          <w:szCs w:val="24"/>
        </w:rPr>
        <w:t>Titolare AIC:</w:t>
      </w:r>
    </w:p>
    <w:p w14:paraId="4F4857AB" w14:textId="77777777" w:rsidR="00EC3589" w:rsidRPr="00751D0F" w:rsidRDefault="00A64AC7" w:rsidP="004241AC">
      <w:pPr>
        <w:spacing w:after="0" w:line="240" w:lineRule="auto"/>
        <w:jc w:val="center"/>
        <w:rPr>
          <w:b/>
          <w:sz w:val="24"/>
          <w:szCs w:val="24"/>
        </w:rPr>
      </w:pPr>
      <w:r w:rsidRPr="00751D0F">
        <w:rPr>
          <w:rFonts w:cs="Arial"/>
          <w:b/>
          <w:sz w:val="24"/>
          <w:szCs w:val="24"/>
        </w:rPr>
        <w:t>Baxalta Innovations GmbH</w:t>
      </w:r>
    </w:p>
    <w:p w14:paraId="255818C9" w14:textId="77777777" w:rsidR="004609F8" w:rsidRPr="00751D0F" w:rsidRDefault="004609F8" w:rsidP="004241AC">
      <w:pPr>
        <w:spacing w:after="0" w:line="240" w:lineRule="auto"/>
        <w:jc w:val="center"/>
        <w:rPr>
          <w:b/>
          <w:sz w:val="24"/>
          <w:szCs w:val="24"/>
        </w:rPr>
      </w:pPr>
    </w:p>
    <w:p w14:paraId="3FBB8C72" w14:textId="77777777" w:rsidR="004241AC" w:rsidRPr="00751D0F" w:rsidRDefault="004241AC" w:rsidP="004241AC">
      <w:pPr>
        <w:spacing w:after="0" w:line="240" w:lineRule="auto"/>
        <w:jc w:val="center"/>
        <w:rPr>
          <w:rFonts w:cs="Helvetica"/>
          <w:b/>
          <w:sz w:val="24"/>
          <w:szCs w:val="24"/>
        </w:rPr>
      </w:pPr>
      <w:r w:rsidRPr="00751D0F">
        <w:rPr>
          <w:b/>
          <w:sz w:val="24"/>
          <w:szCs w:val="24"/>
        </w:rPr>
        <w:t xml:space="preserve">Numero di AIC: </w:t>
      </w:r>
      <w:r w:rsidR="00A64AC7" w:rsidRPr="00751D0F">
        <w:rPr>
          <w:rFonts w:cs="Arial"/>
          <w:b/>
          <w:sz w:val="24"/>
          <w:szCs w:val="24"/>
        </w:rPr>
        <w:t>024744</w:t>
      </w:r>
    </w:p>
    <w:bookmarkEnd w:id="0"/>
    <w:p w14:paraId="1907B873" w14:textId="77777777" w:rsidR="004241AC" w:rsidRDefault="004241AC" w:rsidP="0081179C">
      <w:pPr>
        <w:spacing w:after="0" w:line="240" w:lineRule="auto"/>
        <w:rPr>
          <w:b/>
        </w:rPr>
      </w:pPr>
    </w:p>
    <w:p w14:paraId="583BCEBF" w14:textId="77777777" w:rsidR="004E5A39" w:rsidRPr="00062636" w:rsidRDefault="004E5A39" w:rsidP="004241AC">
      <w:pPr>
        <w:spacing w:after="0" w:line="240" w:lineRule="auto"/>
        <w:jc w:val="center"/>
        <w:rPr>
          <w:b/>
        </w:rPr>
      </w:pPr>
    </w:p>
    <w:p w14:paraId="09774D5B" w14:textId="77777777" w:rsidR="004E5A39" w:rsidRPr="00670328" w:rsidRDefault="004E5A39" w:rsidP="004E5A39">
      <w:pPr>
        <w:autoSpaceDE w:val="0"/>
        <w:autoSpaceDN w:val="0"/>
        <w:adjustRightInd w:val="0"/>
        <w:spacing w:after="0" w:line="240" w:lineRule="auto"/>
        <w:jc w:val="center"/>
        <w:rPr>
          <w:rFonts w:eastAsia="Calibri" w:cs="Calibri"/>
          <w:b/>
          <w:color w:val="000000"/>
          <w:sz w:val="24"/>
          <w:szCs w:val="24"/>
          <w:lang w:eastAsia="it-IT"/>
        </w:rPr>
      </w:pPr>
      <w:r w:rsidRPr="00670328">
        <w:rPr>
          <w:rFonts w:eastAsia="Calibri" w:cs="Calibri"/>
          <w:b/>
          <w:color w:val="000000"/>
          <w:sz w:val="24"/>
          <w:szCs w:val="24"/>
          <w:lang w:eastAsia="it-IT"/>
        </w:rPr>
        <w:t>RIASSUNTO DELLA RELAZIONE PUBBLICA DI VALUTAZIONE</w:t>
      </w:r>
    </w:p>
    <w:p w14:paraId="40DF58FA" w14:textId="77777777" w:rsidR="004E5A39" w:rsidRPr="00670328" w:rsidRDefault="004E5A39" w:rsidP="00FC19CA">
      <w:pPr>
        <w:autoSpaceDE w:val="0"/>
        <w:autoSpaceDN w:val="0"/>
        <w:adjustRightInd w:val="0"/>
        <w:spacing w:after="0" w:line="240" w:lineRule="auto"/>
        <w:jc w:val="both"/>
        <w:rPr>
          <w:rFonts w:eastAsia="Calibri" w:cs="Calibri"/>
          <w:color w:val="000000"/>
          <w:sz w:val="24"/>
          <w:szCs w:val="24"/>
          <w:lang w:eastAsia="it-IT"/>
        </w:rPr>
      </w:pPr>
    </w:p>
    <w:p w14:paraId="53653C25" w14:textId="77777777" w:rsidR="00BB2AF8" w:rsidRPr="00670328" w:rsidRDefault="00BB2AF8" w:rsidP="00FC19CA">
      <w:pPr>
        <w:autoSpaceDE w:val="0"/>
        <w:autoSpaceDN w:val="0"/>
        <w:adjustRightInd w:val="0"/>
        <w:spacing w:after="0" w:line="240" w:lineRule="auto"/>
        <w:jc w:val="both"/>
        <w:rPr>
          <w:rFonts w:eastAsia="Calibri" w:cs="Calibri"/>
          <w:bCs/>
          <w:color w:val="000000"/>
          <w:sz w:val="24"/>
          <w:szCs w:val="24"/>
          <w:lang w:eastAsia="it-IT"/>
        </w:rPr>
      </w:pPr>
      <w:r w:rsidRPr="00670328">
        <w:rPr>
          <w:rFonts w:eastAsia="Calibri" w:cs="Calibri"/>
          <w:color w:val="000000"/>
          <w:sz w:val="24"/>
          <w:szCs w:val="24"/>
          <w:lang w:eastAsia="it-IT"/>
        </w:rPr>
        <w:t xml:space="preserve">Questa è la sintesi del </w:t>
      </w:r>
      <w:r w:rsidRPr="00670328">
        <w:rPr>
          <w:rFonts w:eastAsia="Calibri" w:cs="Calibri"/>
          <w:i/>
          <w:color w:val="000000"/>
          <w:sz w:val="24"/>
          <w:szCs w:val="24"/>
          <w:lang w:eastAsia="it-IT"/>
        </w:rPr>
        <w:t xml:space="preserve">Public </w:t>
      </w:r>
      <w:proofErr w:type="spellStart"/>
      <w:r w:rsidRPr="00670328">
        <w:rPr>
          <w:rFonts w:eastAsia="Calibri" w:cs="Calibri"/>
          <w:i/>
          <w:color w:val="000000"/>
          <w:sz w:val="24"/>
          <w:szCs w:val="24"/>
          <w:lang w:eastAsia="it-IT"/>
        </w:rPr>
        <w:t>Assessment</w:t>
      </w:r>
      <w:proofErr w:type="spellEnd"/>
      <w:r w:rsidRPr="00670328">
        <w:rPr>
          <w:rFonts w:eastAsia="Calibri" w:cs="Calibri"/>
          <w:i/>
          <w:color w:val="000000"/>
          <w:sz w:val="24"/>
          <w:szCs w:val="24"/>
          <w:lang w:eastAsia="it-IT"/>
        </w:rPr>
        <w:t xml:space="preserve"> Report</w:t>
      </w:r>
      <w:r w:rsidRPr="00670328">
        <w:rPr>
          <w:rFonts w:eastAsia="Calibri" w:cs="Calibri"/>
          <w:color w:val="000000"/>
          <w:sz w:val="24"/>
          <w:szCs w:val="24"/>
          <w:lang w:eastAsia="it-IT"/>
        </w:rPr>
        <w:t xml:space="preserve"> (PAR) </w:t>
      </w:r>
      <w:r w:rsidR="00751D0F">
        <w:rPr>
          <w:rFonts w:eastAsia="Calibri" w:cs="Calibri"/>
          <w:color w:val="000000"/>
          <w:sz w:val="24"/>
          <w:szCs w:val="24"/>
          <w:lang w:eastAsia="it-IT"/>
        </w:rPr>
        <w:t xml:space="preserve">del </w:t>
      </w:r>
      <w:r w:rsidR="00310FF9">
        <w:rPr>
          <w:rFonts w:eastAsia="Calibri" w:cs="Calibri"/>
          <w:color w:val="000000"/>
          <w:sz w:val="24"/>
          <w:szCs w:val="24"/>
          <w:lang w:eastAsia="it-IT"/>
        </w:rPr>
        <w:t>medicinale</w:t>
      </w:r>
      <w:r w:rsidR="00310FF9" w:rsidRPr="00670328">
        <w:rPr>
          <w:rFonts w:eastAsia="Calibri" w:cs="Calibri"/>
          <w:color w:val="000000"/>
          <w:sz w:val="24"/>
          <w:szCs w:val="24"/>
          <w:lang w:eastAsia="it-IT"/>
        </w:rPr>
        <w:t xml:space="preserve"> </w:t>
      </w:r>
      <w:r w:rsidR="000D6683" w:rsidRPr="00670328">
        <w:rPr>
          <w:rFonts w:eastAsia="Calibri" w:cs="Calibri"/>
          <w:color w:val="000000"/>
          <w:sz w:val="24"/>
          <w:szCs w:val="24"/>
          <w:lang w:eastAsia="it-IT"/>
        </w:rPr>
        <w:t>FEIBA</w:t>
      </w:r>
      <w:r w:rsidR="00B22436">
        <w:rPr>
          <w:rFonts w:eastAsia="Calibri" w:cs="Calibri"/>
          <w:color w:val="000000"/>
          <w:sz w:val="24"/>
          <w:szCs w:val="24"/>
          <w:lang w:eastAsia="it-IT"/>
        </w:rPr>
        <w:t>,</w:t>
      </w:r>
      <w:r w:rsidR="000D6683" w:rsidRPr="00670328">
        <w:rPr>
          <w:rFonts w:eastAsia="Calibri" w:cs="Calibri"/>
          <w:color w:val="000000"/>
          <w:sz w:val="24"/>
          <w:szCs w:val="24"/>
          <w:lang w:eastAsia="it-IT"/>
        </w:rPr>
        <w:t xml:space="preserve"> </w:t>
      </w:r>
      <w:r w:rsidR="00310FF9">
        <w:rPr>
          <w:rFonts w:eastAsia="Calibri" w:cs="Calibri"/>
          <w:color w:val="000000"/>
          <w:sz w:val="24"/>
          <w:szCs w:val="24"/>
          <w:lang w:eastAsia="it-IT"/>
        </w:rPr>
        <w:t xml:space="preserve">100 UF/mL, </w:t>
      </w:r>
      <w:r w:rsidR="00CA12C7">
        <w:rPr>
          <w:rFonts w:eastAsia="Calibri" w:cs="Calibri"/>
          <w:color w:val="000000"/>
          <w:sz w:val="24"/>
          <w:szCs w:val="24"/>
          <w:lang w:eastAsia="it-IT"/>
        </w:rPr>
        <w:t>p</w:t>
      </w:r>
      <w:r w:rsidR="00310FF9" w:rsidRPr="00310FF9">
        <w:rPr>
          <w:rFonts w:eastAsia="Calibri" w:cs="Calibri"/>
          <w:color w:val="000000"/>
          <w:sz w:val="24"/>
          <w:szCs w:val="24"/>
          <w:lang w:eastAsia="it-IT"/>
        </w:rPr>
        <w:t>olvere e solvente per soluzione per infusione</w:t>
      </w:r>
      <w:r w:rsidR="000D6683" w:rsidRPr="00670328">
        <w:rPr>
          <w:rFonts w:eastAsia="Calibri" w:cs="Calibri"/>
          <w:color w:val="000000"/>
          <w:sz w:val="24"/>
          <w:szCs w:val="24"/>
          <w:lang w:eastAsia="it-IT"/>
        </w:rPr>
        <w:t xml:space="preserve">. </w:t>
      </w:r>
      <w:r w:rsidR="00310FF9">
        <w:rPr>
          <w:rFonts w:eastAsia="Calibri" w:cs="Calibri"/>
          <w:color w:val="000000"/>
          <w:sz w:val="24"/>
          <w:szCs w:val="24"/>
          <w:lang w:eastAsia="it-IT"/>
        </w:rPr>
        <w:t xml:space="preserve">In esso viene spiegato </w:t>
      </w:r>
      <w:r w:rsidRPr="00670328">
        <w:rPr>
          <w:rFonts w:eastAsia="Calibri" w:cs="Calibri"/>
          <w:color w:val="000000"/>
          <w:sz w:val="24"/>
          <w:szCs w:val="24"/>
          <w:lang w:eastAsia="it-IT"/>
        </w:rPr>
        <w:t xml:space="preserve">come </w:t>
      </w:r>
      <w:r w:rsidR="00CA12C7">
        <w:rPr>
          <w:rFonts w:eastAsia="Calibri" w:cs="Calibri"/>
          <w:color w:val="000000"/>
          <w:sz w:val="24"/>
          <w:szCs w:val="24"/>
          <w:lang w:eastAsia="it-IT"/>
        </w:rPr>
        <w:t>FEIBA, 100 UF/mL, p</w:t>
      </w:r>
      <w:r w:rsidR="00751D0F" w:rsidRPr="00751D0F">
        <w:rPr>
          <w:rFonts w:eastAsia="Calibri" w:cs="Calibri"/>
          <w:color w:val="000000"/>
          <w:sz w:val="24"/>
          <w:szCs w:val="24"/>
          <w:lang w:eastAsia="it-IT"/>
        </w:rPr>
        <w:t>olvere e solvente per s</w:t>
      </w:r>
      <w:r w:rsidR="00751D0F">
        <w:rPr>
          <w:rFonts w:eastAsia="Calibri" w:cs="Calibri"/>
          <w:color w:val="000000"/>
          <w:sz w:val="24"/>
          <w:szCs w:val="24"/>
          <w:lang w:eastAsia="it-IT"/>
        </w:rPr>
        <w:t>oluzione per infusione,</w:t>
      </w:r>
      <w:r w:rsidR="000D6683" w:rsidRPr="00670328">
        <w:rPr>
          <w:rFonts w:eastAsia="Calibri" w:cs="Calibri"/>
          <w:color w:val="000000"/>
          <w:sz w:val="24"/>
          <w:szCs w:val="24"/>
          <w:lang w:eastAsia="it-IT"/>
        </w:rPr>
        <w:t xml:space="preserve"> </w:t>
      </w:r>
      <w:r w:rsidRPr="00670328">
        <w:rPr>
          <w:rFonts w:eastAsia="Calibri" w:cs="Calibri"/>
          <w:color w:val="000000"/>
          <w:sz w:val="24"/>
          <w:szCs w:val="24"/>
          <w:lang w:eastAsia="it-IT"/>
        </w:rPr>
        <w:t xml:space="preserve">è stato valutato </w:t>
      </w:r>
      <w:r w:rsidR="00310FF9">
        <w:rPr>
          <w:rFonts w:cs="Calibri"/>
          <w:color w:val="000000"/>
          <w:sz w:val="24"/>
          <w:szCs w:val="24"/>
          <w:lang w:eastAsia="it-IT"/>
        </w:rPr>
        <w:t>dall’AIFA</w:t>
      </w:r>
      <w:r w:rsidR="006A2D9C" w:rsidRPr="00670328">
        <w:rPr>
          <w:rFonts w:cs="Calibri"/>
          <w:color w:val="000000"/>
          <w:sz w:val="24"/>
          <w:szCs w:val="24"/>
          <w:lang w:eastAsia="it-IT"/>
        </w:rPr>
        <w:t xml:space="preserve"> </w:t>
      </w:r>
      <w:r w:rsidR="000D6683" w:rsidRPr="00670328">
        <w:rPr>
          <w:rFonts w:cs="Calibri"/>
          <w:color w:val="000000"/>
          <w:sz w:val="24"/>
          <w:szCs w:val="24"/>
          <w:lang w:eastAsia="it-IT"/>
        </w:rPr>
        <w:t>e</w:t>
      </w:r>
      <w:r w:rsidRPr="00670328">
        <w:rPr>
          <w:rFonts w:eastAsia="Calibri" w:cs="Calibri"/>
          <w:color w:val="000000"/>
          <w:sz w:val="24"/>
          <w:szCs w:val="24"/>
          <w:lang w:eastAsia="it-IT"/>
        </w:rPr>
        <w:t xml:space="preserve"> </w:t>
      </w:r>
      <w:r w:rsidR="00310FF9">
        <w:rPr>
          <w:rFonts w:eastAsia="Calibri" w:cs="Calibri"/>
          <w:color w:val="000000"/>
          <w:sz w:val="24"/>
          <w:szCs w:val="24"/>
          <w:lang w:eastAsia="it-IT"/>
        </w:rPr>
        <w:t xml:space="preserve">quali sono </w:t>
      </w:r>
      <w:r w:rsidRPr="00670328">
        <w:rPr>
          <w:rFonts w:eastAsia="Calibri" w:cs="Calibri"/>
          <w:color w:val="000000"/>
          <w:sz w:val="24"/>
          <w:szCs w:val="24"/>
          <w:lang w:eastAsia="it-IT"/>
        </w:rPr>
        <w:t xml:space="preserve">le sue condizioni di impiego. </w:t>
      </w:r>
      <w:r w:rsidR="00310FF9">
        <w:rPr>
          <w:rFonts w:eastAsia="Calibri" w:cs="Calibri"/>
          <w:color w:val="000000"/>
          <w:sz w:val="24"/>
          <w:szCs w:val="24"/>
          <w:lang w:eastAsia="it-IT"/>
        </w:rPr>
        <w:t xml:space="preserve">Il documento non </w:t>
      </w:r>
      <w:r w:rsidRPr="00670328">
        <w:rPr>
          <w:rFonts w:eastAsia="Calibri" w:cs="Calibri"/>
          <w:color w:val="000000"/>
          <w:sz w:val="24"/>
          <w:szCs w:val="24"/>
          <w:lang w:eastAsia="it-IT"/>
        </w:rPr>
        <w:t xml:space="preserve">intende fornire consigli pratici su come utilizzare </w:t>
      </w:r>
      <w:r w:rsidR="000D6683" w:rsidRPr="00670328">
        <w:rPr>
          <w:rFonts w:eastAsia="Calibri" w:cs="Calibri"/>
          <w:color w:val="000000"/>
          <w:sz w:val="24"/>
          <w:szCs w:val="24"/>
          <w:lang w:eastAsia="it-IT"/>
        </w:rPr>
        <w:t>FEIBA</w:t>
      </w:r>
      <w:r w:rsidR="00B22436">
        <w:rPr>
          <w:rFonts w:eastAsia="Calibri" w:cs="Calibri"/>
          <w:color w:val="000000"/>
          <w:sz w:val="24"/>
          <w:szCs w:val="24"/>
          <w:lang w:eastAsia="it-IT"/>
        </w:rPr>
        <w:t>,</w:t>
      </w:r>
      <w:r w:rsidR="000D6683" w:rsidRPr="00670328">
        <w:rPr>
          <w:rFonts w:eastAsia="Calibri" w:cs="Calibri"/>
          <w:color w:val="000000"/>
          <w:sz w:val="24"/>
          <w:szCs w:val="24"/>
          <w:lang w:eastAsia="it-IT"/>
        </w:rPr>
        <w:t xml:space="preserve"> </w:t>
      </w:r>
      <w:r w:rsidR="00C1386A">
        <w:rPr>
          <w:rFonts w:eastAsia="Calibri" w:cs="Calibri"/>
          <w:color w:val="000000"/>
          <w:sz w:val="24"/>
          <w:szCs w:val="24"/>
          <w:lang w:eastAsia="it-IT"/>
        </w:rPr>
        <w:t>100 UF/mL, p</w:t>
      </w:r>
      <w:r w:rsidR="00751D0F" w:rsidRPr="00751D0F">
        <w:rPr>
          <w:rFonts w:eastAsia="Calibri" w:cs="Calibri"/>
          <w:color w:val="000000"/>
          <w:sz w:val="24"/>
          <w:szCs w:val="24"/>
          <w:lang w:eastAsia="it-IT"/>
        </w:rPr>
        <w:t>olvere e solve</w:t>
      </w:r>
      <w:r w:rsidR="00751D0F">
        <w:rPr>
          <w:rFonts w:eastAsia="Calibri" w:cs="Calibri"/>
          <w:color w:val="000000"/>
          <w:sz w:val="24"/>
          <w:szCs w:val="24"/>
          <w:lang w:eastAsia="it-IT"/>
        </w:rPr>
        <w:t>nte per soluzione per infusione</w:t>
      </w:r>
      <w:r w:rsidRPr="00670328">
        <w:rPr>
          <w:rFonts w:eastAsia="Calibri" w:cs="Calibri"/>
          <w:bCs/>
          <w:color w:val="000000"/>
          <w:sz w:val="24"/>
          <w:szCs w:val="24"/>
          <w:lang w:eastAsia="it-IT"/>
        </w:rPr>
        <w:t>.</w:t>
      </w:r>
    </w:p>
    <w:p w14:paraId="6DC142A9" w14:textId="77777777" w:rsidR="00BB2AF8" w:rsidRPr="00670328" w:rsidRDefault="00BB2AF8" w:rsidP="00FC19CA">
      <w:pPr>
        <w:autoSpaceDE w:val="0"/>
        <w:autoSpaceDN w:val="0"/>
        <w:adjustRightInd w:val="0"/>
        <w:spacing w:after="0" w:line="240" w:lineRule="auto"/>
        <w:jc w:val="both"/>
        <w:rPr>
          <w:rFonts w:eastAsia="Calibri" w:cs="Calibri"/>
          <w:color w:val="000000"/>
          <w:sz w:val="24"/>
          <w:szCs w:val="24"/>
          <w:lang w:eastAsia="it-IT"/>
        </w:rPr>
      </w:pPr>
      <w:r w:rsidRPr="00670328">
        <w:rPr>
          <w:rFonts w:eastAsia="Calibri" w:cs="Calibri"/>
          <w:color w:val="000000"/>
          <w:sz w:val="24"/>
          <w:szCs w:val="24"/>
          <w:lang w:eastAsia="it-IT"/>
        </w:rPr>
        <w:t>Per informazioni pratiche sull'utilizzo di</w:t>
      </w:r>
      <w:r w:rsidRPr="00670328">
        <w:rPr>
          <w:rFonts w:eastAsia="Calibri" w:cs="Calibri"/>
          <w:bCs/>
          <w:color w:val="000000"/>
          <w:sz w:val="24"/>
          <w:szCs w:val="24"/>
          <w:lang w:eastAsia="it-IT"/>
        </w:rPr>
        <w:t xml:space="preserve"> </w:t>
      </w:r>
      <w:r w:rsidR="00BC1497">
        <w:rPr>
          <w:rFonts w:eastAsia="Calibri" w:cs="Calibri"/>
          <w:bCs/>
          <w:color w:val="000000"/>
          <w:sz w:val="24"/>
          <w:szCs w:val="24"/>
          <w:lang w:eastAsia="it-IT"/>
        </w:rPr>
        <w:t xml:space="preserve">FEIBA, </w:t>
      </w:r>
      <w:r w:rsidR="00CA12C7">
        <w:rPr>
          <w:rFonts w:eastAsia="Calibri" w:cs="Calibri"/>
          <w:color w:val="000000"/>
          <w:sz w:val="24"/>
          <w:szCs w:val="24"/>
          <w:lang w:eastAsia="it-IT"/>
        </w:rPr>
        <w:t>100 UF/mL, p</w:t>
      </w:r>
      <w:r w:rsidR="00751D0F" w:rsidRPr="00751D0F">
        <w:rPr>
          <w:rFonts w:eastAsia="Calibri" w:cs="Calibri"/>
          <w:color w:val="000000"/>
          <w:sz w:val="24"/>
          <w:szCs w:val="24"/>
          <w:lang w:eastAsia="it-IT"/>
        </w:rPr>
        <w:t>olvere e solve</w:t>
      </w:r>
      <w:r w:rsidR="00751D0F">
        <w:rPr>
          <w:rFonts w:eastAsia="Calibri" w:cs="Calibri"/>
          <w:color w:val="000000"/>
          <w:sz w:val="24"/>
          <w:szCs w:val="24"/>
          <w:lang w:eastAsia="it-IT"/>
        </w:rPr>
        <w:t>nte per soluzione per infusione</w:t>
      </w:r>
      <w:r w:rsidR="00B22436">
        <w:rPr>
          <w:rFonts w:eastAsia="Calibri" w:cs="Calibri"/>
          <w:color w:val="000000"/>
          <w:sz w:val="24"/>
          <w:szCs w:val="24"/>
          <w:lang w:eastAsia="it-IT"/>
        </w:rPr>
        <w:t>,</w:t>
      </w:r>
      <w:r w:rsidR="001F1AA3" w:rsidRPr="00670328">
        <w:rPr>
          <w:rFonts w:eastAsia="Calibri" w:cs="Calibri"/>
          <w:color w:val="000000"/>
          <w:sz w:val="24"/>
          <w:szCs w:val="24"/>
          <w:lang w:eastAsia="it-IT"/>
        </w:rPr>
        <w:t xml:space="preserve"> </w:t>
      </w:r>
      <w:r w:rsidRPr="00670328">
        <w:rPr>
          <w:rFonts w:eastAsia="Calibri" w:cs="Calibri"/>
          <w:color w:val="000000"/>
          <w:sz w:val="24"/>
          <w:szCs w:val="24"/>
          <w:lang w:eastAsia="it-IT"/>
        </w:rPr>
        <w:t xml:space="preserve">i pazienti devono consultare il foglio illustrativo o contattare il loro medico o il farmacista. </w:t>
      </w:r>
    </w:p>
    <w:p w14:paraId="2A274AD3" w14:textId="77777777" w:rsidR="00BB2AF8" w:rsidRPr="00670328" w:rsidRDefault="00BB2AF8" w:rsidP="00FC19CA">
      <w:pPr>
        <w:autoSpaceDE w:val="0"/>
        <w:autoSpaceDN w:val="0"/>
        <w:adjustRightInd w:val="0"/>
        <w:spacing w:after="0" w:line="240" w:lineRule="auto"/>
        <w:jc w:val="both"/>
        <w:rPr>
          <w:rFonts w:eastAsia="Calibri" w:cs="Calibri"/>
          <w:color w:val="000000"/>
          <w:sz w:val="24"/>
          <w:szCs w:val="24"/>
          <w:lang w:eastAsia="it-IT"/>
        </w:rPr>
      </w:pPr>
    </w:p>
    <w:p w14:paraId="406E5D30" w14:textId="77777777" w:rsidR="00BB2AF8" w:rsidRDefault="00BB2AF8" w:rsidP="00DE6168">
      <w:pPr>
        <w:pStyle w:val="Paragrafoelenco"/>
        <w:numPr>
          <w:ilvl w:val="0"/>
          <w:numId w:val="16"/>
        </w:numPr>
        <w:autoSpaceDE w:val="0"/>
        <w:autoSpaceDN w:val="0"/>
        <w:adjustRightInd w:val="0"/>
        <w:spacing w:after="0" w:line="240" w:lineRule="auto"/>
        <w:jc w:val="both"/>
        <w:rPr>
          <w:rFonts w:eastAsia="Calibri" w:cs="Calibri"/>
          <w:b/>
          <w:bCs/>
          <w:color w:val="000000"/>
          <w:sz w:val="24"/>
          <w:szCs w:val="24"/>
          <w:lang w:eastAsia="it-IT"/>
        </w:rPr>
      </w:pPr>
      <w:r w:rsidRPr="0015644A">
        <w:rPr>
          <w:rFonts w:eastAsia="Calibri" w:cs="Calibri"/>
          <w:b/>
          <w:bCs/>
          <w:color w:val="000000"/>
          <w:sz w:val="24"/>
          <w:szCs w:val="24"/>
          <w:lang w:eastAsia="it-IT"/>
        </w:rPr>
        <w:t>CHE</w:t>
      </w:r>
      <w:r w:rsidRPr="00816F3B">
        <w:rPr>
          <w:rFonts w:eastAsia="Calibri" w:cs="Calibri"/>
          <w:b/>
          <w:bCs/>
          <w:color w:val="000000"/>
          <w:sz w:val="24"/>
          <w:szCs w:val="24"/>
          <w:lang w:eastAsia="it-IT"/>
        </w:rPr>
        <w:t xml:space="preserve"> COS’È </w:t>
      </w:r>
      <w:r w:rsidR="006020F1" w:rsidRPr="00816F3B">
        <w:rPr>
          <w:rFonts w:eastAsia="Calibri" w:cs="Calibri"/>
          <w:b/>
          <w:bCs/>
          <w:color w:val="000000"/>
          <w:sz w:val="24"/>
          <w:szCs w:val="24"/>
          <w:lang w:eastAsia="it-IT"/>
        </w:rPr>
        <w:t>FEIBA</w:t>
      </w:r>
      <w:r w:rsidR="00DE6168" w:rsidRPr="00816F3B">
        <w:rPr>
          <w:rFonts w:eastAsia="Calibri" w:cs="Calibri"/>
          <w:b/>
          <w:bCs/>
          <w:color w:val="000000"/>
          <w:sz w:val="24"/>
          <w:szCs w:val="24"/>
          <w:lang w:eastAsia="it-IT"/>
        </w:rPr>
        <w:t>,</w:t>
      </w:r>
      <w:r w:rsidR="006020F1" w:rsidRPr="00816F3B">
        <w:rPr>
          <w:rFonts w:eastAsia="Calibri" w:cs="Calibri"/>
          <w:b/>
          <w:bCs/>
          <w:color w:val="000000"/>
          <w:sz w:val="24"/>
          <w:szCs w:val="24"/>
          <w:lang w:eastAsia="it-IT"/>
        </w:rPr>
        <w:t xml:space="preserve"> </w:t>
      </w:r>
      <w:r w:rsidR="00DE6168" w:rsidRPr="00816F3B">
        <w:rPr>
          <w:rFonts w:eastAsia="Calibri" w:cs="Calibri"/>
          <w:b/>
          <w:bCs/>
          <w:color w:val="000000"/>
          <w:sz w:val="24"/>
          <w:szCs w:val="24"/>
          <w:lang w:eastAsia="it-IT"/>
        </w:rPr>
        <w:t xml:space="preserve">100 UF/mL, polvere e solvente per soluzione per infusione, </w:t>
      </w:r>
      <w:r w:rsidR="00477A02" w:rsidRPr="00816F3B">
        <w:rPr>
          <w:rFonts w:eastAsia="Calibri" w:cs="Calibri"/>
          <w:b/>
          <w:bCs/>
          <w:color w:val="000000"/>
          <w:sz w:val="24"/>
          <w:szCs w:val="24"/>
          <w:lang w:eastAsia="it-IT"/>
        </w:rPr>
        <w:t>e</w:t>
      </w:r>
      <w:r w:rsidRPr="00816F3B">
        <w:rPr>
          <w:rFonts w:eastAsia="Calibri" w:cs="Calibri"/>
          <w:b/>
          <w:bCs/>
          <w:color w:val="000000"/>
          <w:sz w:val="24"/>
          <w:szCs w:val="24"/>
          <w:lang w:eastAsia="it-IT"/>
        </w:rPr>
        <w:t xml:space="preserve"> A COSA</w:t>
      </w:r>
      <w:r w:rsidRPr="00CA6C9C">
        <w:rPr>
          <w:rFonts w:eastAsia="Calibri" w:cs="Calibri"/>
          <w:b/>
          <w:bCs/>
          <w:color w:val="000000"/>
          <w:sz w:val="24"/>
          <w:szCs w:val="24"/>
          <w:lang w:eastAsia="it-IT"/>
        </w:rPr>
        <w:t xml:space="preserve"> SERVE? </w:t>
      </w:r>
    </w:p>
    <w:p w14:paraId="64F9E0CA" w14:textId="34AC2438" w:rsidR="00CA6C9C" w:rsidRDefault="00DE6168" w:rsidP="00CA6C9C">
      <w:pPr>
        <w:autoSpaceDE w:val="0"/>
        <w:autoSpaceDN w:val="0"/>
        <w:adjustRightInd w:val="0"/>
        <w:spacing w:after="0" w:line="240" w:lineRule="auto"/>
        <w:jc w:val="both"/>
        <w:rPr>
          <w:rFonts w:eastAsia="Calibri" w:cs="Calibri"/>
          <w:bCs/>
          <w:color w:val="000000"/>
          <w:sz w:val="24"/>
          <w:szCs w:val="24"/>
          <w:lang w:eastAsia="it-IT"/>
        </w:rPr>
      </w:pPr>
      <w:r w:rsidRPr="00DE6168">
        <w:rPr>
          <w:rFonts w:eastAsia="Calibri" w:cs="Calibri"/>
          <w:bCs/>
          <w:color w:val="000000"/>
          <w:sz w:val="24"/>
          <w:szCs w:val="24"/>
          <w:lang w:eastAsia="it-IT"/>
        </w:rPr>
        <w:t>Il medicinale FEIBA, 100 UF/mL, polvere e solvente per soluzione per infusione, è una polvere liofilizzata per soluzione per infusione che contiene nominalmente 500 UF, 1000 UF o 2500 UF (Unità FEIBA) di complesso protrombinico attivato per flaconcino. Il medicinale ricostituito consiste in una soluzione con una concentrazione di 100 UF di complesso protrombinico attivato per ciascun mL.</w:t>
      </w:r>
    </w:p>
    <w:p w14:paraId="613183DE" w14:textId="77777777" w:rsidR="007305B8" w:rsidRPr="002F08DA" w:rsidRDefault="007305B8" w:rsidP="007305B8">
      <w:pPr>
        <w:widowControl w:val="0"/>
        <w:spacing w:after="0" w:line="240" w:lineRule="auto"/>
        <w:jc w:val="both"/>
        <w:rPr>
          <w:rFonts w:eastAsia="Calibri" w:cs="Calibri"/>
          <w:color w:val="000000"/>
          <w:sz w:val="24"/>
          <w:szCs w:val="24"/>
          <w:lang w:eastAsia="it-IT"/>
        </w:rPr>
      </w:pPr>
    </w:p>
    <w:p w14:paraId="439CB75C" w14:textId="3BC9B327" w:rsidR="007E35A8" w:rsidRPr="00670328" w:rsidRDefault="007E35A8" w:rsidP="00FC19CA">
      <w:pPr>
        <w:tabs>
          <w:tab w:val="left" w:pos="360"/>
          <w:tab w:val="left" w:pos="600"/>
          <w:tab w:val="left" w:pos="3600"/>
          <w:tab w:val="left" w:pos="5520"/>
        </w:tabs>
        <w:spacing w:after="0" w:line="240" w:lineRule="auto"/>
        <w:jc w:val="both"/>
        <w:rPr>
          <w:sz w:val="24"/>
          <w:szCs w:val="24"/>
        </w:rPr>
      </w:pPr>
      <w:r w:rsidRPr="00670328">
        <w:rPr>
          <w:sz w:val="24"/>
          <w:szCs w:val="24"/>
        </w:rPr>
        <w:t>FEIBA</w:t>
      </w:r>
      <w:r w:rsidR="00EC7A61">
        <w:rPr>
          <w:sz w:val="24"/>
          <w:szCs w:val="24"/>
        </w:rPr>
        <w:t xml:space="preserve">, </w:t>
      </w:r>
      <w:r w:rsidR="00EC7A61" w:rsidRPr="00EC7A61">
        <w:rPr>
          <w:sz w:val="24"/>
          <w:szCs w:val="24"/>
        </w:rPr>
        <w:t>100 UF/mL, polvere e solven</w:t>
      </w:r>
      <w:r w:rsidR="00EC7A61">
        <w:rPr>
          <w:sz w:val="24"/>
          <w:szCs w:val="24"/>
        </w:rPr>
        <w:t>te per soluzione per infusione,</w:t>
      </w:r>
      <w:r w:rsidR="006020F1">
        <w:rPr>
          <w:sz w:val="24"/>
          <w:szCs w:val="24"/>
        </w:rPr>
        <w:t xml:space="preserve"> </w:t>
      </w:r>
      <w:r w:rsidRPr="00670328">
        <w:rPr>
          <w:sz w:val="24"/>
          <w:szCs w:val="24"/>
        </w:rPr>
        <w:t xml:space="preserve">è </w:t>
      </w:r>
      <w:r w:rsidR="00DE6168">
        <w:rPr>
          <w:sz w:val="24"/>
          <w:szCs w:val="24"/>
        </w:rPr>
        <w:t xml:space="preserve">quindi </w:t>
      </w:r>
      <w:r w:rsidRPr="00670328">
        <w:rPr>
          <w:sz w:val="24"/>
          <w:szCs w:val="24"/>
        </w:rPr>
        <w:t xml:space="preserve">una specialità medicinale che contiene un insieme di sostanze necessarie per </w:t>
      </w:r>
      <w:r w:rsidR="0066013E">
        <w:rPr>
          <w:sz w:val="24"/>
          <w:szCs w:val="24"/>
        </w:rPr>
        <w:t xml:space="preserve">favorire la coagulazione del sangue; tale medicinale </w:t>
      </w:r>
      <w:r w:rsidRPr="00670328">
        <w:rPr>
          <w:sz w:val="24"/>
          <w:szCs w:val="24"/>
        </w:rPr>
        <w:t>si usa nei casi in cui siano presenti</w:t>
      </w:r>
      <w:r w:rsidR="0066013E">
        <w:rPr>
          <w:sz w:val="24"/>
          <w:szCs w:val="24"/>
        </w:rPr>
        <w:t>,</w:t>
      </w:r>
      <w:r w:rsidRPr="00670328">
        <w:rPr>
          <w:sz w:val="24"/>
          <w:szCs w:val="24"/>
        </w:rPr>
        <w:t xml:space="preserve"> nel sangue del paziente</w:t>
      </w:r>
      <w:r w:rsidR="0066013E">
        <w:rPr>
          <w:sz w:val="24"/>
          <w:szCs w:val="24"/>
        </w:rPr>
        <w:t>,</w:t>
      </w:r>
      <w:r w:rsidRPr="00670328">
        <w:rPr>
          <w:sz w:val="24"/>
          <w:szCs w:val="24"/>
        </w:rPr>
        <w:t xml:space="preserve"> </w:t>
      </w:r>
      <w:r w:rsidR="0066013E">
        <w:rPr>
          <w:sz w:val="24"/>
          <w:szCs w:val="24"/>
        </w:rPr>
        <w:t xml:space="preserve">degli inibitori </w:t>
      </w:r>
      <w:r w:rsidRPr="00670328">
        <w:rPr>
          <w:sz w:val="24"/>
          <w:szCs w:val="24"/>
        </w:rPr>
        <w:t>della coagulazione, ovvero sostanze che bloccano alcune fasi della coagulazione, determina</w:t>
      </w:r>
      <w:r w:rsidR="0066013E">
        <w:rPr>
          <w:sz w:val="24"/>
          <w:szCs w:val="24"/>
        </w:rPr>
        <w:t>ndo</w:t>
      </w:r>
      <w:r w:rsidRPr="00670328">
        <w:rPr>
          <w:sz w:val="24"/>
          <w:szCs w:val="24"/>
        </w:rPr>
        <w:t xml:space="preserve"> sanguinamenti anche gravi. In questi casi, la somministrazione di FEIBA</w:t>
      </w:r>
      <w:r w:rsidR="00C1386A">
        <w:rPr>
          <w:sz w:val="24"/>
          <w:szCs w:val="24"/>
        </w:rPr>
        <w:t>,</w:t>
      </w:r>
      <w:r w:rsidR="006020F1">
        <w:rPr>
          <w:sz w:val="24"/>
          <w:szCs w:val="24"/>
        </w:rPr>
        <w:t xml:space="preserve"> </w:t>
      </w:r>
      <w:r w:rsidR="00EC7A61" w:rsidRPr="00EC7A61">
        <w:rPr>
          <w:sz w:val="24"/>
          <w:szCs w:val="24"/>
        </w:rPr>
        <w:t>100 UF/mL, polvere e solvente per soluzione per infusione</w:t>
      </w:r>
      <w:r w:rsidR="00EC7A61">
        <w:rPr>
          <w:sz w:val="24"/>
          <w:szCs w:val="24"/>
        </w:rPr>
        <w:t xml:space="preserve">, </w:t>
      </w:r>
      <w:r w:rsidRPr="00670328">
        <w:rPr>
          <w:sz w:val="24"/>
          <w:szCs w:val="24"/>
        </w:rPr>
        <w:t>che agisce a valle del blocco della coagulazione, potrà arrestare la perdita di sangue.</w:t>
      </w:r>
    </w:p>
    <w:p w14:paraId="6E332AD9" w14:textId="77777777" w:rsidR="007E35A8" w:rsidRPr="00670328" w:rsidRDefault="007E35A8" w:rsidP="0054073F">
      <w:pPr>
        <w:tabs>
          <w:tab w:val="left" w:pos="360"/>
          <w:tab w:val="left" w:pos="600"/>
          <w:tab w:val="left" w:pos="3600"/>
          <w:tab w:val="left" w:pos="5520"/>
        </w:tabs>
        <w:spacing w:after="0" w:line="240" w:lineRule="auto"/>
        <w:jc w:val="both"/>
        <w:rPr>
          <w:sz w:val="24"/>
          <w:szCs w:val="24"/>
        </w:rPr>
      </w:pPr>
      <w:r w:rsidRPr="00670328">
        <w:rPr>
          <w:sz w:val="24"/>
          <w:szCs w:val="24"/>
        </w:rPr>
        <w:t>FEIBA</w:t>
      </w:r>
      <w:r w:rsidR="00EC7A61">
        <w:rPr>
          <w:sz w:val="24"/>
          <w:szCs w:val="24"/>
        </w:rPr>
        <w:t>,</w:t>
      </w:r>
      <w:r w:rsidRPr="00670328">
        <w:rPr>
          <w:sz w:val="24"/>
          <w:szCs w:val="24"/>
        </w:rPr>
        <w:t xml:space="preserve"> </w:t>
      </w:r>
      <w:r w:rsidR="00EC7A61" w:rsidRPr="00EC7A61">
        <w:rPr>
          <w:sz w:val="24"/>
          <w:szCs w:val="24"/>
        </w:rPr>
        <w:t xml:space="preserve">100 UF/mL, polvere e solvente per soluzione per infusione </w:t>
      </w:r>
      <w:r w:rsidRPr="00670328">
        <w:rPr>
          <w:sz w:val="24"/>
          <w:szCs w:val="24"/>
        </w:rPr>
        <w:t>si usa in pazienti di tutte le fasce di età per il trattamento e la prevenzione dei sanguinamenti (spontanei o collegati a piccoli interventi chirurgici) causati dalla:</w:t>
      </w:r>
    </w:p>
    <w:p w14:paraId="3BFFAC49" w14:textId="77777777" w:rsidR="007E35A8" w:rsidRPr="00670328" w:rsidRDefault="007E35A8" w:rsidP="0054073F">
      <w:pPr>
        <w:numPr>
          <w:ilvl w:val="0"/>
          <w:numId w:val="11"/>
        </w:numPr>
        <w:tabs>
          <w:tab w:val="clear" w:pos="480"/>
          <w:tab w:val="num" w:pos="709"/>
          <w:tab w:val="left" w:pos="3600"/>
          <w:tab w:val="left" w:pos="5520"/>
        </w:tabs>
        <w:spacing w:after="0" w:line="240" w:lineRule="auto"/>
        <w:ind w:left="709" w:hanging="709"/>
        <w:jc w:val="both"/>
        <w:rPr>
          <w:sz w:val="24"/>
          <w:szCs w:val="24"/>
        </w:rPr>
      </w:pPr>
      <w:r w:rsidRPr="00670328">
        <w:rPr>
          <w:sz w:val="24"/>
          <w:szCs w:val="24"/>
        </w:rPr>
        <w:lastRenderedPageBreak/>
        <w:t>Presenza congenita (malattie ereditarie) o acquisita dell’inibitore del fattore VIII;</w:t>
      </w:r>
    </w:p>
    <w:p w14:paraId="5A814442" w14:textId="77777777" w:rsidR="007E35A8" w:rsidRDefault="007E35A8" w:rsidP="0054073F">
      <w:pPr>
        <w:numPr>
          <w:ilvl w:val="0"/>
          <w:numId w:val="11"/>
        </w:numPr>
        <w:tabs>
          <w:tab w:val="clear" w:pos="480"/>
          <w:tab w:val="num" w:pos="709"/>
          <w:tab w:val="left" w:pos="3600"/>
          <w:tab w:val="left" w:pos="5520"/>
        </w:tabs>
        <w:spacing w:after="0" w:line="240" w:lineRule="auto"/>
        <w:ind w:left="709" w:hanging="709"/>
        <w:jc w:val="both"/>
        <w:rPr>
          <w:sz w:val="24"/>
          <w:szCs w:val="24"/>
        </w:rPr>
      </w:pPr>
      <w:r w:rsidRPr="00670328">
        <w:rPr>
          <w:sz w:val="24"/>
          <w:szCs w:val="24"/>
        </w:rPr>
        <w:t>Presenza dell’inibitore del fattore XIa.</w:t>
      </w:r>
    </w:p>
    <w:p w14:paraId="2C248CB7" w14:textId="77777777" w:rsidR="00DE6168" w:rsidRDefault="00DE6168" w:rsidP="00DE6168">
      <w:pPr>
        <w:tabs>
          <w:tab w:val="left" w:pos="3600"/>
          <w:tab w:val="left" w:pos="5520"/>
        </w:tabs>
        <w:spacing w:after="0" w:line="240" w:lineRule="auto"/>
        <w:jc w:val="both"/>
        <w:rPr>
          <w:sz w:val="24"/>
          <w:szCs w:val="24"/>
        </w:rPr>
      </w:pPr>
    </w:p>
    <w:p w14:paraId="1137222C" w14:textId="3A8030FE" w:rsidR="00DE6168" w:rsidRDefault="00DE6168" w:rsidP="00DE6168">
      <w:pPr>
        <w:tabs>
          <w:tab w:val="left" w:pos="3600"/>
          <w:tab w:val="left" w:pos="5520"/>
        </w:tabs>
        <w:spacing w:after="0" w:line="240" w:lineRule="auto"/>
        <w:jc w:val="both"/>
        <w:rPr>
          <w:sz w:val="24"/>
          <w:szCs w:val="24"/>
        </w:rPr>
      </w:pPr>
      <w:proofErr w:type="spellStart"/>
      <w:r>
        <w:rPr>
          <w:sz w:val="24"/>
          <w:szCs w:val="24"/>
        </w:rPr>
        <w:t>Feiba</w:t>
      </w:r>
      <w:proofErr w:type="spellEnd"/>
      <w:r>
        <w:rPr>
          <w:sz w:val="24"/>
          <w:szCs w:val="24"/>
        </w:rPr>
        <w:t xml:space="preserve">, polvere e solvente per soluzione per infusione, </w:t>
      </w:r>
      <w:r w:rsidR="004C4C5D">
        <w:rPr>
          <w:sz w:val="24"/>
          <w:szCs w:val="24"/>
        </w:rPr>
        <w:t xml:space="preserve">in Italia </w:t>
      </w:r>
      <w:r w:rsidR="0066013E">
        <w:rPr>
          <w:sz w:val="24"/>
          <w:szCs w:val="24"/>
        </w:rPr>
        <w:t xml:space="preserve">è autorizzato anche </w:t>
      </w:r>
      <w:r w:rsidR="004C4C5D">
        <w:rPr>
          <w:sz w:val="24"/>
          <w:szCs w:val="24"/>
        </w:rPr>
        <w:t xml:space="preserve">alla concentrazione </w:t>
      </w:r>
      <w:r w:rsidR="004C4C5D" w:rsidRPr="00816F3B">
        <w:rPr>
          <w:sz w:val="24"/>
          <w:szCs w:val="24"/>
        </w:rPr>
        <w:t>di 50 UF/mL, disponibile a</w:t>
      </w:r>
      <w:r w:rsidR="00816F3B" w:rsidRPr="0015644A">
        <w:rPr>
          <w:sz w:val="24"/>
          <w:szCs w:val="24"/>
        </w:rPr>
        <w:t>l</w:t>
      </w:r>
      <w:r w:rsidR="004C4C5D" w:rsidRPr="00816F3B">
        <w:rPr>
          <w:sz w:val="24"/>
          <w:szCs w:val="24"/>
        </w:rPr>
        <w:t xml:space="preserve"> </w:t>
      </w:r>
      <w:r w:rsidR="0066013E" w:rsidRPr="00816F3B">
        <w:rPr>
          <w:sz w:val="24"/>
          <w:szCs w:val="24"/>
        </w:rPr>
        <w:t>dosaggi</w:t>
      </w:r>
      <w:r w:rsidR="00816F3B" w:rsidRPr="0015644A">
        <w:rPr>
          <w:sz w:val="24"/>
          <w:szCs w:val="24"/>
        </w:rPr>
        <w:t>o</w:t>
      </w:r>
      <w:r w:rsidR="0066013E" w:rsidRPr="00816F3B">
        <w:rPr>
          <w:sz w:val="24"/>
          <w:szCs w:val="24"/>
        </w:rPr>
        <w:t xml:space="preserve"> </w:t>
      </w:r>
      <w:r w:rsidR="004C4C5D" w:rsidRPr="00816F3B">
        <w:rPr>
          <w:sz w:val="24"/>
          <w:szCs w:val="24"/>
        </w:rPr>
        <w:t>final</w:t>
      </w:r>
      <w:r w:rsidR="00816F3B" w:rsidRPr="0015644A">
        <w:rPr>
          <w:sz w:val="24"/>
          <w:szCs w:val="24"/>
        </w:rPr>
        <w:t>e</w:t>
      </w:r>
      <w:r w:rsidR="004C4C5D" w:rsidRPr="00816F3B">
        <w:rPr>
          <w:sz w:val="24"/>
          <w:szCs w:val="24"/>
        </w:rPr>
        <w:t xml:space="preserve"> della soluzione ricostituita </w:t>
      </w:r>
      <w:r w:rsidR="009627FA" w:rsidRPr="00816F3B">
        <w:rPr>
          <w:sz w:val="24"/>
          <w:szCs w:val="24"/>
        </w:rPr>
        <w:t xml:space="preserve">con 20 mL di solvente </w:t>
      </w:r>
      <w:r w:rsidR="005202C9">
        <w:rPr>
          <w:sz w:val="24"/>
          <w:szCs w:val="24"/>
        </w:rPr>
        <w:t xml:space="preserve">di </w:t>
      </w:r>
      <w:r w:rsidR="004C4C5D" w:rsidRPr="00816F3B">
        <w:rPr>
          <w:sz w:val="24"/>
          <w:szCs w:val="24"/>
        </w:rPr>
        <w:t>1000 UF di complesso protrombinico attivato</w:t>
      </w:r>
      <w:r w:rsidR="00982CBD">
        <w:rPr>
          <w:sz w:val="24"/>
          <w:szCs w:val="24"/>
        </w:rPr>
        <w:t xml:space="preserve"> </w:t>
      </w:r>
      <w:proofErr w:type="gramStart"/>
      <w:r w:rsidR="00982CBD">
        <w:rPr>
          <w:sz w:val="24"/>
          <w:szCs w:val="24"/>
        </w:rPr>
        <w:t>e</w:t>
      </w:r>
      <w:proofErr w:type="gramEnd"/>
      <w:r w:rsidR="00982CBD">
        <w:rPr>
          <w:sz w:val="24"/>
          <w:szCs w:val="24"/>
        </w:rPr>
        <w:t xml:space="preserve"> </w:t>
      </w:r>
      <w:r w:rsidR="00E064C5">
        <w:rPr>
          <w:sz w:val="24"/>
          <w:szCs w:val="24"/>
        </w:rPr>
        <w:t>alla concentrazione di 25 UF/mL, disponibile al dosaggio finale della soluzione ricostituita c</w:t>
      </w:r>
      <w:r w:rsidR="00E22BA0">
        <w:rPr>
          <w:sz w:val="24"/>
          <w:szCs w:val="24"/>
        </w:rPr>
        <w:t xml:space="preserve">on 20 mL di solvente </w:t>
      </w:r>
      <w:r w:rsidR="005202C9">
        <w:rPr>
          <w:sz w:val="24"/>
          <w:szCs w:val="24"/>
        </w:rPr>
        <w:t>di</w:t>
      </w:r>
      <w:r w:rsidR="00E22BA0">
        <w:rPr>
          <w:sz w:val="24"/>
          <w:szCs w:val="24"/>
        </w:rPr>
        <w:t xml:space="preserve"> </w:t>
      </w:r>
      <w:r w:rsidR="00E064C5">
        <w:rPr>
          <w:sz w:val="24"/>
          <w:szCs w:val="24"/>
        </w:rPr>
        <w:t xml:space="preserve">500 UF di complesso protrombinico attivato. </w:t>
      </w:r>
    </w:p>
    <w:p w14:paraId="0B26B5B9" w14:textId="77777777" w:rsidR="00DE6168" w:rsidRDefault="00DE6168" w:rsidP="00CA6C9C">
      <w:pPr>
        <w:tabs>
          <w:tab w:val="left" w:pos="3600"/>
          <w:tab w:val="left" w:pos="5520"/>
        </w:tabs>
        <w:spacing w:after="0" w:line="240" w:lineRule="auto"/>
        <w:jc w:val="both"/>
        <w:rPr>
          <w:sz w:val="24"/>
          <w:szCs w:val="24"/>
        </w:rPr>
      </w:pPr>
    </w:p>
    <w:p w14:paraId="67163579" w14:textId="77777777" w:rsidR="00CA6C9C" w:rsidRDefault="00DE6168" w:rsidP="00CA6C9C">
      <w:pPr>
        <w:tabs>
          <w:tab w:val="left" w:pos="3600"/>
          <w:tab w:val="left" w:pos="5520"/>
        </w:tabs>
        <w:spacing w:after="0" w:line="240" w:lineRule="auto"/>
        <w:jc w:val="both"/>
        <w:rPr>
          <w:sz w:val="24"/>
          <w:szCs w:val="24"/>
        </w:rPr>
      </w:pPr>
      <w:r w:rsidRPr="00DE6168">
        <w:rPr>
          <w:sz w:val="24"/>
          <w:szCs w:val="24"/>
        </w:rPr>
        <w:t>Oggetto di questa Relazione Pubblica di Valutazione è la presentazione di FEIBA da 100 UF/mL, polvere e solvente per soluzione per infusione.</w:t>
      </w:r>
    </w:p>
    <w:p w14:paraId="5A0E56CB" w14:textId="77777777" w:rsidR="00F33005" w:rsidRDefault="00F33005" w:rsidP="001C15DF">
      <w:pPr>
        <w:autoSpaceDE w:val="0"/>
        <w:autoSpaceDN w:val="0"/>
        <w:adjustRightInd w:val="0"/>
        <w:spacing w:after="0" w:line="240" w:lineRule="auto"/>
        <w:jc w:val="both"/>
        <w:rPr>
          <w:rFonts w:eastAsia="Calibri" w:cs="Calibri"/>
          <w:b/>
          <w:bCs/>
          <w:color w:val="000000"/>
          <w:sz w:val="24"/>
          <w:szCs w:val="24"/>
          <w:lang w:eastAsia="it-IT"/>
        </w:rPr>
      </w:pPr>
    </w:p>
    <w:p w14:paraId="7324A2E7" w14:textId="39A15BB4" w:rsidR="00BB2AF8" w:rsidRDefault="00BB2AF8" w:rsidP="001C15DF">
      <w:pPr>
        <w:autoSpaceDE w:val="0"/>
        <w:autoSpaceDN w:val="0"/>
        <w:adjustRightInd w:val="0"/>
        <w:spacing w:after="0" w:line="240" w:lineRule="auto"/>
        <w:jc w:val="both"/>
        <w:rPr>
          <w:rFonts w:eastAsia="Calibri" w:cs="Calibri"/>
          <w:b/>
          <w:bCs/>
          <w:color w:val="000000"/>
          <w:sz w:val="24"/>
          <w:szCs w:val="24"/>
          <w:lang w:eastAsia="it-IT"/>
        </w:rPr>
      </w:pPr>
      <w:r w:rsidRPr="00670328">
        <w:rPr>
          <w:rFonts w:eastAsia="Calibri" w:cs="Calibri"/>
          <w:b/>
          <w:bCs/>
          <w:color w:val="000000"/>
          <w:sz w:val="24"/>
          <w:szCs w:val="24"/>
          <w:lang w:eastAsia="it-IT"/>
        </w:rPr>
        <w:t xml:space="preserve">2) COME </w:t>
      </w:r>
      <w:r w:rsidR="00077149" w:rsidRPr="00670328">
        <w:rPr>
          <w:rFonts w:eastAsia="Calibri" w:cs="Calibri"/>
          <w:b/>
          <w:bCs/>
          <w:color w:val="000000"/>
          <w:sz w:val="24"/>
          <w:szCs w:val="24"/>
          <w:lang w:eastAsia="it-IT"/>
        </w:rPr>
        <w:t>È</w:t>
      </w:r>
      <w:r w:rsidRPr="00670328">
        <w:rPr>
          <w:rFonts w:eastAsia="Calibri" w:cs="Calibri"/>
          <w:b/>
          <w:bCs/>
          <w:color w:val="000000"/>
          <w:sz w:val="24"/>
          <w:szCs w:val="24"/>
          <w:lang w:eastAsia="it-IT"/>
        </w:rPr>
        <w:t xml:space="preserve"> PRESCRITTO/USATO </w:t>
      </w:r>
      <w:r w:rsidR="007E35A8" w:rsidRPr="00670328">
        <w:rPr>
          <w:rFonts w:eastAsia="Calibri" w:cs="Calibri"/>
          <w:b/>
          <w:color w:val="000000"/>
          <w:sz w:val="24"/>
          <w:szCs w:val="24"/>
          <w:lang w:eastAsia="it-IT"/>
        </w:rPr>
        <w:t>FEIBA</w:t>
      </w:r>
      <w:r w:rsidR="004A4208">
        <w:rPr>
          <w:rFonts w:eastAsia="Calibri" w:cs="Calibri"/>
          <w:b/>
          <w:color w:val="000000"/>
          <w:sz w:val="24"/>
          <w:szCs w:val="24"/>
          <w:lang w:eastAsia="it-IT"/>
        </w:rPr>
        <w:t xml:space="preserve"> da </w:t>
      </w:r>
      <w:r w:rsidR="00C034FD">
        <w:rPr>
          <w:rFonts w:eastAsia="Calibri" w:cs="Calibri"/>
          <w:b/>
          <w:color w:val="000000"/>
          <w:sz w:val="24"/>
          <w:szCs w:val="24"/>
          <w:lang w:eastAsia="it-IT"/>
        </w:rPr>
        <w:t>100 UF/mL, polvere e solvente per soluzione per infusione</w:t>
      </w:r>
      <w:r w:rsidRPr="00670328">
        <w:rPr>
          <w:rFonts w:eastAsia="Calibri" w:cs="Calibri"/>
          <w:b/>
          <w:bCs/>
          <w:color w:val="000000"/>
          <w:sz w:val="24"/>
          <w:szCs w:val="24"/>
          <w:lang w:eastAsia="it-IT"/>
        </w:rPr>
        <w:t>?</w:t>
      </w:r>
    </w:p>
    <w:p w14:paraId="5F8A6D1B" w14:textId="1EE4A9E3" w:rsidR="001A381F" w:rsidRDefault="007E35A8" w:rsidP="007E35A8">
      <w:pPr>
        <w:tabs>
          <w:tab w:val="left" w:pos="0"/>
        </w:tabs>
        <w:spacing w:after="0" w:line="240" w:lineRule="auto"/>
        <w:jc w:val="both"/>
        <w:rPr>
          <w:rFonts w:cs="Arial"/>
          <w:sz w:val="24"/>
          <w:szCs w:val="24"/>
        </w:rPr>
      </w:pPr>
      <w:r w:rsidRPr="00670328">
        <w:rPr>
          <w:rFonts w:eastAsia="Calibri" w:cs="Calibri"/>
          <w:color w:val="000000"/>
          <w:sz w:val="24"/>
          <w:szCs w:val="24"/>
          <w:lang w:eastAsia="it-IT"/>
        </w:rPr>
        <w:t>FEIBA</w:t>
      </w:r>
      <w:r w:rsidR="00FC19CA">
        <w:rPr>
          <w:rFonts w:eastAsia="Calibri" w:cs="Calibri"/>
          <w:color w:val="000000"/>
          <w:sz w:val="24"/>
          <w:szCs w:val="24"/>
          <w:lang w:eastAsia="it-IT"/>
        </w:rPr>
        <w:t>,</w:t>
      </w:r>
      <w:r w:rsidRPr="00670328">
        <w:rPr>
          <w:rFonts w:eastAsia="Calibri" w:cs="Calibri"/>
          <w:color w:val="000000"/>
          <w:sz w:val="24"/>
          <w:szCs w:val="24"/>
          <w:lang w:eastAsia="it-IT"/>
        </w:rPr>
        <w:t xml:space="preserve"> 100 UF/mL</w:t>
      </w:r>
      <w:r w:rsidR="00F739D3">
        <w:rPr>
          <w:rFonts w:eastAsia="Calibri" w:cs="Calibri"/>
          <w:color w:val="000000"/>
          <w:sz w:val="24"/>
          <w:szCs w:val="24"/>
          <w:lang w:eastAsia="it-IT"/>
        </w:rPr>
        <w:t xml:space="preserve"> polvere e solvente per soluzione per infusione</w:t>
      </w:r>
      <w:r w:rsidR="00FC19CA">
        <w:rPr>
          <w:rFonts w:eastAsia="Calibri" w:cs="Calibri"/>
          <w:color w:val="000000"/>
          <w:sz w:val="24"/>
          <w:szCs w:val="24"/>
          <w:lang w:eastAsia="it-IT"/>
        </w:rPr>
        <w:t>,</w:t>
      </w:r>
      <w:r w:rsidRPr="00670328">
        <w:rPr>
          <w:rFonts w:eastAsia="Calibri" w:cs="Calibri"/>
          <w:color w:val="000000"/>
          <w:sz w:val="24"/>
          <w:szCs w:val="24"/>
          <w:lang w:eastAsia="it-IT"/>
        </w:rPr>
        <w:t xml:space="preserve"> </w:t>
      </w:r>
      <w:r w:rsidR="001C15DF" w:rsidRPr="00670328">
        <w:rPr>
          <w:rFonts w:cs="Arial"/>
          <w:sz w:val="24"/>
          <w:szCs w:val="24"/>
        </w:rPr>
        <w:t xml:space="preserve">è un </w:t>
      </w:r>
      <w:r w:rsidR="00FC19CA">
        <w:rPr>
          <w:rFonts w:cs="Arial"/>
          <w:sz w:val="24"/>
          <w:szCs w:val="24"/>
        </w:rPr>
        <w:t>m</w:t>
      </w:r>
      <w:r w:rsidRPr="00670328">
        <w:rPr>
          <w:rFonts w:cs="Arial"/>
          <w:sz w:val="24"/>
          <w:szCs w:val="24"/>
        </w:rPr>
        <w:t xml:space="preserve">edicinale soggetto a </w:t>
      </w:r>
      <w:r w:rsidR="00E64806">
        <w:rPr>
          <w:rFonts w:cs="Arial"/>
          <w:sz w:val="24"/>
          <w:szCs w:val="24"/>
        </w:rPr>
        <w:t xml:space="preserve">prescrizione medica limitativa e può essere ottenuto solo </w:t>
      </w:r>
      <w:r w:rsidRPr="00670328">
        <w:rPr>
          <w:rFonts w:cs="Arial"/>
          <w:sz w:val="24"/>
          <w:szCs w:val="24"/>
        </w:rPr>
        <w:t>su prescrizione di centri</w:t>
      </w:r>
      <w:r w:rsidR="00E64806">
        <w:rPr>
          <w:rFonts w:cs="Arial"/>
          <w:sz w:val="24"/>
          <w:szCs w:val="24"/>
        </w:rPr>
        <w:t xml:space="preserve"> ospedalieri o di specialisti ematologo e </w:t>
      </w:r>
      <w:r w:rsidRPr="00670328">
        <w:rPr>
          <w:rFonts w:cs="Arial"/>
          <w:sz w:val="24"/>
          <w:szCs w:val="24"/>
        </w:rPr>
        <w:t>internista</w:t>
      </w:r>
      <w:r w:rsidR="00E64806">
        <w:rPr>
          <w:rFonts w:cs="Arial"/>
          <w:sz w:val="24"/>
          <w:szCs w:val="24"/>
        </w:rPr>
        <w:t xml:space="preserve">, con ricetta limitativa ripetibile. </w:t>
      </w:r>
    </w:p>
    <w:p w14:paraId="5C8881F1" w14:textId="77777777" w:rsidR="00FC19CA" w:rsidRPr="00670328" w:rsidRDefault="00FC19CA" w:rsidP="007E35A8">
      <w:pPr>
        <w:tabs>
          <w:tab w:val="left" w:pos="0"/>
        </w:tabs>
        <w:spacing w:after="0" w:line="240" w:lineRule="auto"/>
        <w:jc w:val="both"/>
        <w:rPr>
          <w:rFonts w:cs="Arial"/>
          <w:sz w:val="24"/>
          <w:szCs w:val="24"/>
        </w:rPr>
      </w:pPr>
      <w:r w:rsidRPr="00FC19CA">
        <w:rPr>
          <w:rFonts w:cs="Arial"/>
          <w:sz w:val="24"/>
          <w:szCs w:val="24"/>
        </w:rPr>
        <w:t>Il trattamento deve essere iniziato e monitorato da un medico con esperienza nel trattamento dei disordini della coagulazione</w:t>
      </w:r>
      <w:r w:rsidR="00A10888">
        <w:rPr>
          <w:rFonts w:cs="Arial"/>
          <w:sz w:val="24"/>
          <w:szCs w:val="24"/>
        </w:rPr>
        <w:t>.</w:t>
      </w:r>
    </w:p>
    <w:p w14:paraId="7BEDF248" w14:textId="77777777" w:rsidR="007E35A8" w:rsidRPr="00670328" w:rsidRDefault="007E35A8" w:rsidP="007E35A8">
      <w:pPr>
        <w:autoSpaceDE w:val="0"/>
        <w:autoSpaceDN w:val="0"/>
        <w:adjustRightInd w:val="0"/>
        <w:spacing w:after="0" w:line="240" w:lineRule="auto"/>
        <w:jc w:val="both"/>
        <w:rPr>
          <w:sz w:val="24"/>
          <w:szCs w:val="24"/>
        </w:rPr>
      </w:pPr>
      <w:r w:rsidRPr="00670328">
        <w:rPr>
          <w:sz w:val="24"/>
          <w:szCs w:val="24"/>
        </w:rPr>
        <w:t>La dose raccomandata non deve superare la dose singola di 100 unità/Kg di peso corporeo e la dose giornaliera di 200 unità/Kg di peso corporeo, a meno che la gravità del sanguinamento assicuri e giustifichi l’uso di una dose maggiore.</w:t>
      </w:r>
    </w:p>
    <w:p w14:paraId="7274BE65" w14:textId="77777777" w:rsidR="007E35A8" w:rsidRPr="00670328" w:rsidRDefault="007E35A8" w:rsidP="007E35A8">
      <w:pPr>
        <w:autoSpaceDE w:val="0"/>
        <w:autoSpaceDN w:val="0"/>
        <w:adjustRightInd w:val="0"/>
        <w:spacing w:after="0" w:line="240" w:lineRule="auto"/>
        <w:jc w:val="both"/>
        <w:rPr>
          <w:sz w:val="24"/>
          <w:szCs w:val="24"/>
        </w:rPr>
      </w:pPr>
      <w:r w:rsidRPr="00670328">
        <w:rPr>
          <w:sz w:val="24"/>
          <w:szCs w:val="24"/>
        </w:rPr>
        <w:t>Quando questo medicinale è usato per bloccare episodi emorragici, deve essere somministrato solo per il tempo strettamente necessario al raggiungimento del risultato terapeutico.</w:t>
      </w:r>
    </w:p>
    <w:p w14:paraId="03B92DD8" w14:textId="2EE0A715" w:rsidR="00F96473" w:rsidRPr="00670328" w:rsidRDefault="007E35A8" w:rsidP="007E35A8">
      <w:pPr>
        <w:autoSpaceDE w:val="0"/>
        <w:autoSpaceDN w:val="0"/>
        <w:adjustRightInd w:val="0"/>
        <w:spacing w:after="0" w:line="240" w:lineRule="auto"/>
        <w:jc w:val="both"/>
        <w:rPr>
          <w:sz w:val="24"/>
          <w:szCs w:val="24"/>
        </w:rPr>
      </w:pPr>
      <w:r w:rsidRPr="003F47AD">
        <w:rPr>
          <w:sz w:val="24"/>
          <w:szCs w:val="24"/>
        </w:rPr>
        <w:t>Questo medicinale deve essere somministrato in una vena</w:t>
      </w:r>
      <w:r w:rsidR="0066013E" w:rsidRPr="003F47AD">
        <w:rPr>
          <w:sz w:val="24"/>
          <w:szCs w:val="24"/>
        </w:rPr>
        <w:t>,</w:t>
      </w:r>
      <w:r w:rsidRPr="003F47AD">
        <w:rPr>
          <w:sz w:val="24"/>
          <w:szCs w:val="24"/>
        </w:rPr>
        <w:t xml:space="preserve"> seguendo sempre esattamente le istruzioni</w:t>
      </w:r>
      <w:r w:rsidRPr="00670328">
        <w:rPr>
          <w:sz w:val="24"/>
          <w:szCs w:val="24"/>
        </w:rPr>
        <w:t xml:space="preserve"> del medico.</w:t>
      </w:r>
    </w:p>
    <w:p w14:paraId="72206266" w14:textId="77777777" w:rsidR="007E35A8" w:rsidRPr="00670328" w:rsidRDefault="007E35A8" w:rsidP="007E35A8">
      <w:pPr>
        <w:autoSpaceDE w:val="0"/>
        <w:autoSpaceDN w:val="0"/>
        <w:adjustRightInd w:val="0"/>
        <w:spacing w:after="0" w:line="240" w:lineRule="auto"/>
        <w:jc w:val="both"/>
        <w:rPr>
          <w:rFonts w:eastAsia="Calibri" w:cs="Verdana"/>
          <w:color w:val="000000"/>
          <w:sz w:val="24"/>
          <w:szCs w:val="24"/>
          <w:lang w:eastAsia="it-IT"/>
        </w:rPr>
      </w:pPr>
      <w:r w:rsidRPr="00670328">
        <w:rPr>
          <w:rFonts w:eastAsia="Calibri" w:cs="Verdana"/>
          <w:color w:val="000000"/>
          <w:sz w:val="24"/>
          <w:szCs w:val="24"/>
          <w:lang w:eastAsia="it-IT"/>
        </w:rPr>
        <w:t xml:space="preserve">La </w:t>
      </w:r>
      <w:r w:rsidR="00E64806">
        <w:rPr>
          <w:rFonts w:eastAsia="Calibri" w:cs="Verdana"/>
          <w:color w:val="000000"/>
          <w:sz w:val="24"/>
          <w:szCs w:val="24"/>
          <w:lang w:eastAsia="it-IT"/>
        </w:rPr>
        <w:t>quantità di medicinale da utilizzare è stabilita dal medico sulla base dello</w:t>
      </w:r>
      <w:r w:rsidRPr="00670328">
        <w:rPr>
          <w:rFonts w:eastAsia="Calibri" w:cs="Verdana"/>
          <w:color w:val="000000"/>
          <w:sz w:val="24"/>
          <w:szCs w:val="24"/>
          <w:lang w:eastAsia="it-IT"/>
        </w:rPr>
        <w:t xml:space="preserve"> stato di salute </w:t>
      </w:r>
      <w:r w:rsidR="00E64806">
        <w:rPr>
          <w:rFonts w:eastAsia="Calibri" w:cs="Verdana"/>
          <w:color w:val="000000"/>
          <w:sz w:val="24"/>
          <w:szCs w:val="24"/>
          <w:lang w:eastAsia="it-IT"/>
        </w:rPr>
        <w:t xml:space="preserve">del paziente </w:t>
      </w:r>
      <w:r w:rsidRPr="00670328">
        <w:rPr>
          <w:rFonts w:eastAsia="Calibri" w:cs="Verdana"/>
          <w:color w:val="000000"/>
          <w:sz w:val="24"/>
          <w:szCs w:val="24"/>
          <w:lang w:eastAsia="it-IT"/>
        </w:rPr>
        <w:t>e della gravità del sanguinamento.</w:t>
      </w:r>
    </w:p>
    <w:p w14:paraId="5F6BE654" w14:textId="77777777" w:rsidR="00E64806" w:rsidRDefault="00E64806" w:rsidP="007E35A8">
      <w:pPr>
        <w:autoSpaceDE w:val="0"/>
        <w:autoSpaceDN w:val="0"/>
        <w:adjustRightInd w:val="0"/>
        <w:spacing w:after="0" w:line="240" w:lineRule="auto"/>
        <w:jc w:val="both"/>
        <w:rPr>
          <w:rFonts w:eastAsia="Calibri" w:cs="Verdana"/>
          <w:color w:val="000000"/>
          <w:sz w:val="24"/>
          <w:szCs w:val="24"/>
          <w:lang w:eastAsia="it-IT"/>
        </w:rPr>
      </w:pPr>
      <w:r w:rsidRPr="00E64806">
        <w:rPr>
          <w:rFonts w:eastAsia="Calibri" w:cs="Verdana"/>
          <w:color w:val="000000"/>
          <w:sz w:val="24"/>
          <w:szCs w:val="24"/>
          <w:lang w:eastAsia="it-IT"/>
        </w:rPr>
        <w:t>L’esperienza nei bambini e negli adolescenti è limitata. La dose verrà stabilita dal medico sulla base dell’età e dello stato di salute del bambino.</w:t>
      </w:r>
    </w:p>
    <w:p w14:paraId="49700759" w14:textId="455623FC" w:rsidR="007E35A8" w:rsidRPr="00670328" w:rsidRDefault="00E64806" w:rsidP="007E35A8">
      <w:pPr>
        <w:autoSpaceDE w:val="0"/>
        <w:autoSpaceDN w:val="0"/>
        <w:adjustRightInd w:val="0"/>
        <w:spacing w:after="0" w:line="240" w:lineRule="auto"/>
        <w:jc w:val="both"/>
        <w:rPr>
          <w:rFonts w:eastAsia="Calibri" w:cs="Verdana"/>
          <w:color w:val="000000"/>
          <w:sz w:val="24"/>
          <w:szCs w:val="24"/>
          <w:lang w:eastAsia="it-IT"/>
        </w:rPr>
      </w:pPr>
      <w:r>
        <w:rPr>
          <w:rFonts w:eastAsia="Calibri" w:cs="Verdana"/>
          <w:color w:val="000000"/>
          <w:sz w:val="24"/>
          <w:szCs w:val="24"/>
          <w:lang w:eastAsia="it-IT"/>
        </w:rPr>
        <w:t xml:space="preserve">Dopo la completa ricostituzione, </w:t>
      </w:r>
      <w:r w:rsidR="007E35A8" w:rsidRPr="00670328">
        <w:rPr>
          <w:rFonts w:eastAsia="Calibri" w:cs="Verdana"/>
          <w:color w:val="000000"/>
          <w:sz w:val="24"/>
          <w:szCs w:val="24"/>
          <w:lang w:eastAsia="it-IT"/>
        </w:rPr>
        <w:t>FEIBA,</w:t>
      </w:r>
      <w:r w:rsidR="00FC19CA">
        <w:rPr>
          <w:rFonts w:eastAsia="Calibri" w:cs="Verdana"/>
          <w:color w:val="000000"/>
          <w:sz w:val="24"/>
          <w:szCs w:val="24"/>
          <w:lang w:eastAsia="it-IT"/>
        </w:rPr>
        <w:t xml:space="preserve"> 100 UF/mL,</w:t>
      </w:r>
      <w:r w:rsidR="00B56842">
        <w:rPr>
          <w:rFonts w:eastAsia="Calibri" w:cs="Verdana"/>
          <w:color w:val="000000"/>
          <w:sz w:val="24"/>
          <w:szCs w:val="24"/>
          <w:lang w:eastAsia="it-IT"/>
        </w:rPr>
        <w:t xml:space="preserve"> polvere e solvente per soluzione per infusione,</w:t>
      </w:r>
      <w:r w:rsidR="007E35A8" w:rsidRPr="00670328">
        <w:rPr>
          <w:rFonts w:eastAsia="Calibri" w:cs="Verdana"/>
          <w:color w:val="000000"/>
          <w:sz w:val="24"/>
          <w:szCs w:val="24"/>
          <w:lang w:eastAsia="it-IT"/>
        </w:rPr>
        <w:t xml:space="preserve"> </w:t>
      </w:r>
      <w:r>
        <w:rPr>
          <w:rFonts w:eastAsia="Calibri" w:cs="Verdana"/>
          <w:color w:val="000000"/>
          <w:sz w:val="24"/>
          <w:szCs w:val="24"/>
          <w:lang w:eastAsia="it-IT"/>
        </w:rPr>
        <w:t>non deve essere conservato in frigorifero</w:t>
      </w:r>
      <w:r w:rsidR="0066013E">
        <w:rPr>
          <w:rFonts w:eastAsia="Calibri" w:cs="Verdana"/>
          <w:color w:val="000000"/>
          <w:sz w:val="24"/>
          <w:szCs w:val="24"/>
          <w:lang w:eastAsia="it-IT"/>
        </w:rPr>
        <w:t xml:space="preserve">; </w:t>
      </w:r>
      <w:r w:rsidR="007E35A8" w:rsidRPr="00670328">
        <w:rPr>
          <w:rFonts w:eastAsia="Calibri" w:cs="Verdana"/>
          <w:color w:val="000000"/>
          <w:sz w:val="24"/>
          <w:szCs w:val="24"/>
          <w:lang w:eastAsia="it-IT"/>
        </w:rPr>
        <w:t>l’iniezione o l’infusione deve essere iniziata immediatamente e deve essere completata entro tre ore dalla ricostituzione</w:t>
      </w:r>
      <w:r w:rsidR="000D22DE">
        <w:rPr>
          <w:rFonts w:eastAsia="Calibri" w:cs="Verdana"/>
          <w:color w:val="000000"/>
          <w:sz w:val="24"/>
          <w:szCs w:val="24"/>
          <w:lang w:eastAsia="it-IT"/>
        </w:rPr>
        <w:t xml:space="preserve"> stessa</w:t>
      </w:r>
      <w:r w:rsidR="007E35A8" w:rsidRPr="00670328">
        <w:rPr>
          <w:rFonts w:eastAsia="Calibri" w:cs="Verdana"/>
          <w:color w:val="000000"/>
          <w:sz w:val="24"/>
          <w:szCs w:val="24"/>
          <w:lang w:eastAsia="it-IT"/>
        </w:rPr>
        <w:t>.</w:t>
      </w:r>
    </w:p>
    <w:p w14:paraId="69D6AB36" w14:textId="77777777" w:rsidR="005161C4" w:rsidRPr="000164BE" w:rsidRDefault="005161C4" w:rsidP="00BB2AF8">
      <w:pPr>
        <w:autoSpaceDE w:val="0"/>
        <w:autoSpaceDN w:val="0"/>
        <w:adjustRightInd w:val="0"/>
        <w:spacing w:after="0" w:line="240" w:lineRule="auto"/>
        <w:jc w:val="both"/>
        <w:rPr>
          <w:rFonts w:eastAsia="Calibri" w:cs="Verdana"/>
          <w:color w:val="000000"/>
          <w:lang w:eastAsia="it-IT"/>
        </w:rPr>
      </w:pPr>
    </w:p>
    <w:p w14:paraId="6B731433" w14:textId="77777777" w:rsidR="00BB2AF8" w:rsidRPr="00CC6B5B" w:rsidRDefault="00BB2AF8" w:rsidP="00BB2AF8">
      <w:pPr>
        <w:autoSpaceDE w:val="0"/>
        <w:autoSpaceDN w:val="0"/>
        <w:adjustRightInd w:val="0"/>
        <w:spacing w:after="0" w:line="240" w:lineRule="auto"/>
        <w:jc w:val="both"/>
        <w:rPr>
          <w:rFonts w:eastAsia="Calibri" w:cs="Calibri"/>
          <w:b/>
          <w:bCs/>
          <w:color w:val="000000"/>
          <w:sz w:val="24"/>
          <w:szCs w:val="24"/>
          <w:lang w:eastAsia="it-IT"/>
        </w:rPr>
      </w:pPr>
      <w:r w:rsidRPr="00CC6B5B">
        <w:rPr>
          <w:rFonts w:eastAsia="Calibri" w:cs="Calibri"/>
          <w:b/>
          <w:bCs/>
          <w:color w:val="000000"/>
          <w:sz w:val="24"/>
          <w:szCs w:val="24"/>
          <w:lang w:eastAsia="it-IT"/>
        </w:rPr>
        <w:t>3) COME FUNZIONA</w:t>
      </w:r>
      <w:r w:rsidR="00903BA0" w:rsidRPr="00CC6B5B">
        <w:rPr>
          <w:rFonts w:eastAsia="Calibri" w:cs="Calibri"/>
          <w:b/>
          <w:bCs/>
          <w:color w:val="000000"/>
          <w:sz w:val="24"/>
          <w:szCs w:val="24"/>
          <w:lang w:eastAsia="it-IT"/>
        </w:rPr>
        <w:t xml:space="preserve"> </w:t>
      </w:r>
      <w:r w:rsidR="00903BA0" w:rsidRPr="00CC6B5B">
        <w:rPr>
          <w:rFonts w:eastAsia="Calibri" w:cs="Calibri"/>
          <w:b/>
          <w:color w:val="000000"/>
          <w:sz w:val="24"/>
          <w:szCs w:val="24"/>
          <w:lang w:eastAsia="it-IT"/>
        </w:rPr>
        <w:t>FEIBA</w:t>
      </w:r>
      <w:r w:rsidR="0008443F">
        <w:rPr>
          <w:rFonts w:eastAsia="Calibri" w:cs="Calibri"/>
          <w:b/>
          <w:color w:val="000000"/>
          <w:sz w:val="24"/>
          <w:szCs w:val="24"/>
          <w:lang w:eastAsia="it-IT"/>
        </w:rPr>
        <w:t>, 100 UF/mL, polvere e solvente per infusione</w:t>
      </w:r>
      <w:r w:rsidRPr="00CC6B5B">
        <w:rPr>
          <w:rFonts w:eastAsia="Calibri" w:cs="Calibri"/>
          <w:b/>
          <w:bCs/>
          <w:color w:val="000000"/>
          <w:sz w:val="24"/>
          <w:szCs w:val="24"/>
          <w:lang w:eastAsia="it-IT"/>
        </w:rPr>
        <w:t xml:space="preserve">? </w:t>
      </w:r>
    </w:p>
    <w:p w14:paraId="38DAE3B6" w14:textId="3DB04D53" w:rsidR="0059784A" w:rsidRDefault="00D40F87" w:rsidP="00BB2AF8">
      <w:pPr>
        <w:autoSpaceDE w:val="0"/>
        <w:autoSpaceDN w:val="0"/>
        <w:adjustRightInd w:val="0"/>
        <w:spacing w:after="0" w:line="240" w:lineRule="auto"/>
        <w:jc w:val="both"/>
        <w:rPr>
          <w:rFonts w:eastAsia="DejaVuSans" w:cs="DejaVuSans"/>
          <w:sz w:val="24"/>
          <w:szCs w:val="24"/>
        </w:rPr>
      </w:pPr>
      <w:r w:rsidRPr="00CC6B5B">
        <w:rPr>
          <w:rFonts w:eastAsia="Calibri" w:cs="Calibri"/>
          <w:color w:val="000000"/>
          <w:sz w:val="24"/>
          <w:szCs w:val="24"/>
          <w:lang w:eastAsia="it-IT"/>
        </w:rPr>
        <w:t>FEIBA</w:t>
      </w:r>
      <w:r w:rsidR="00BB2AF8" w:rsidRPr="00CC6B5B">
        <w:rPr>
          <w:rFonts w:eastAsia="Calibri" w:cs="Calibri"/>
          <w:bCs/>
          <w:color w:val="000000"/>
          <w:sz w:val="24"/>
          <w:szCs w:val="24"/>
          <w:lang w:eastAsia="it-IT"/>
        </w:rPr>
        <w:t xml:space="preserve">, </w:t>
      </w:r>
      <w:r w:rsidR="00FC19CA">
        <w:rPr>
          <w:rFonts w:eastAsia="Calibri" w:cs="Calibri"/>
          <w:bCs/>
          <w:color w:val="000000"/>
          <w:sz w:val="24"/>
          <w:szCs w:val="24"/>
          <w:lang w:eastAsia="it-IT"/>
        </w:rPr>
        <w:t>100 UF/mL,</w:t>
      </w:r>
      <w:r w:rsidR="003B23BB">
        <w:rPr>
          <w:rFonts w:eastAsia="Calibri" w:cs="Calibri"/>
          <w:bCs/>
          <w:color w:val="000000"/>
          <w:sz w:val="24"/>
          <w:szCs w:val="24"/>
          <w:lang w:eastAsia="it-IT"/>
        </w:rPr>
        <w:t xml:space="preserve"> </w:t>
      </w:r>
      <w:r w:rsidR="0017052B">
        <w:rPr>
          <w:rFonts w:eastAsia="Calibri" w:cs="Calibri"/>
          <w:bCs/>
          <w:color w:val="000000"/>
          <w:sz w:val="24"/>
          <w:szCs w:val="24"/>
          <w:lang w:eastAsia="it-IT"/>
        </w:rPr>
        <w:t xml:space="preserve">polvere e solvente per soluzione per infusione, </w:t>
      </w:r>
      <w:r w:rsidR="00FC19CA">
        <w:rPr>
          <w:rFonts w:eastAsia="Calibri" w:cs="Calibri"/>
          <w:bCs/>
          <w:color w:val="000000"/>
          <w:sz w:val="24"/>
          <w:szCs w:val="24"/>
          <w:lang w:eastAsia="it-IT"/>
        </w:rPr>
        <w:t>appartiene al gruppo farmaceutico</w:t>
      </w:r>
      <w:r w:rsidR="00FC19CA" w:rsidRPr="00FC19CA">
        <w:rPr>
          <w:rFonts w:eastAsia="Calibri" w:cs="Calibri"/>
          <w:bCs/>
          <w:color w:val="000000"/>
          <w:sz w:val="24"/>
          <w:szCs w:val="24"/>
          <w:lang w:eastAsia="it-IT"/>
        </w:rPr>
        <w:t xml:space="preserve"> Antiemorragici: Attività di bypass dell’inibitore del fa</w:t>
      </w:r>
      <w:r w:rsidR="000D22DE">
        <w:rPr>
          <w:rFonts w:eastAsia="Calibri" w:cs="Calibri"/>
          <w:bCs/>
          <w:color w:val="000000"/>
          <w:sz w:val="24"/>
          <w:szCs w:val="24"/>
          <w:lang w:eastAsia="it-IT"/>
        </w:rPr>
        <w:t>ttore VIII;</w:t>
      </w:r>
      <w:r w:rsidR="00FC19CA">
        <w:rPr>
          <w:rFonts w:eastAsia="Calibri" w:cs="Calibri"/>
          <w:bCs/>
          <w:color w:val="000000"/>
          <w:sz w:val="24"/>
          <w:szCs w:val="24"/>
          <w:lang w:eastAsia="it-IT"/>
        </w:rPr>
        <w:t xml:space="preserve"> codice ATC: B02BD03. </w:t>
      </w:r>
      <w:r w:rsidR="00FC19CA">
        <w:rPr>
          <w:rFonts w:eastAsia="Calibri" w:cs="Calibri"/>
          <w:color w:val="000000"/>
          <w:sz w:val="24"/>
          <w:szCs w:val="24"/>
          <w:lang w:eastAsia="it-IT"/>
        </w:rPr>
        <w:t>C</w:t>
      </w:r>
      <w:r w:rsidR="00BB2AF8" w:rsidRPr="00CC6B5B">
        <w:rPr>
          <w:rFonts w:eastAsia="Calibri" w:cs="Calibri"/>
          <w:color w:val="000000"/>
          <w:sz w:val="24"/>
          <w:szCs w:val="24"/>
          <w:lang w:eastAsia="it-IT"/>
        </w:rPr>
        <w:t xml:space="preserve">ontiene il principio attivo </w:t>
      </w:r>
      <w:r w:rsidRPr="00CC6B5B">
        <w:rPr>
          <w:rFonts w:eastAsia="Calibri" w:cs="Calibri"/>
          <w:color w:val="000000"/>
          <w:sz w:val="24"/>
          <w:szCs w:val="24"/>
          <w:lang w:eastAsia="it-IT"/>
        </w:rPr>
        <w:t>complesso protrombinico attivato</w:t>
      </w:r>
      <w:r w:rsidR="0066013E">
        <w:rPr>
          <w:rFonts w:eastAsia="Calibri" w:cs="Calibri"/>
          <w:color w:val="000000"/>
          <w:sz w:val="24"/>
          <w:szCs w:val="24"/>
          <w:lang w:eastAsia="it-IT"/>
        </w:rPr>
        <w:t xml:space="preserve">; </w:t>
      </w:r>
      <w:r w:rsidR="00F748B4">
        <w:rPr>
          <w:rFonts w:eastAsia="Calibri" w:cs="Calibri"/>
          <w:color w:val="000000"/>
          <w:sz w:val="24"/>
          <w:szCs w:val="24"/>
          <w:lang w:eastAsia="it-IT"/>
        </w:rPr>
        <w:t>l’</w:t>
      </w:r>
      <w:r w:rsidR="0059784A" w:rsidRPr="0059784A">
        <w:rPr>
          <w:rFonts w:eastAsia="DejaVuSans" w:cs="DejaVuSans"/>
          <w:sz w:val="24"/>
          <w:szCs w:val="24"/>
        </w:rPr>
        <w:t xml:space="preserve">attività </w:t>
      </w:r>
      <w:r w:rsidR="0017052B">
        <w:rPr>
          <w:rFonts w:eastAsia="DejaVuSans" w:cs="DejaVuSans"/>
          <w:sz w:val="24"/>
          <w:szCs w:val="24"/>
        </w:rPr>
        <w:t>del medicinale</w:t>
      </w:r>
      <w:r w:rsidR="0059784A" w:rsidRPr="0059784A">
        <w:rPr>
          <w:rFonts w:eastAsia="DejaVuSans" w:cs="DejaVuSans"/>
          <w:sz w:val="24"/>
          <w:szCs w:val="24"/>
        </w:rPr>
        <w:t xml:space="preserve"> </w:t>
      </w:r>
      <w:r w:rsidR="00A34061">
        <w:rPr>
          <w:rFonts w:eastAsia="DejaVuSans" w:cs="DejaVuSans"/>
          <w:sz w:val="24"/>
          <w:szCs w:val="24"/>
        </w:rPr>
        <w:t xml:space="preserve">è </w:t>
      </w:r>
      <w:r w:rsidR="0059784A" w:rsidRPr="0059784A">
        <w:rPr>
          <w:rFonts w:eastAsia="DejaVuSans" w:cs="DejaVuSans"/>
          <w:sz w:val="24"/>
          <w:szCs w:val="24"/>
        </w:rPr>
        <w:t xml:space="preserve">determinata </w:t>
      </w:r>
      <w:r w:rsidR="0066013E">
        <w:rPr>
          <w:rFonts w:eastAsia="DejaVuSans" w:cs="DejaVuSans"/>
          <w:sz w:val="24"/>
          <w:szCs w:val="24"/>
        </w:rPr>
        <w:t xml:space="preserve">sulla base </w:t>
      </w:r>
      <w:r w:rsidR="0059784A" w:rsidRPr="0059784A">
        <w:rPr>
          <w:rFonts w:eastAsia="DejaVuSans" w:cs="DejaVuSans"/>
          <w:sz w:val="24"/>
          <w:szCs w:val="24"/>
        </w:rPr>
        <w:t>d</w:t>
      </w:r>
      <w:r w:rsidR="0066013E">
        <w:rPr>
          <w:rFonts w:eastAsia="DejaVuSans" w:cs="DejaVuSans"/>
          <w:sz w:val="24"/>
          <w:szCs w:val="24"/>
        </w:rPr>
        <w:t>e</w:t>
      </w:r>
      <w:r w:rsidR="0059784A" w:rsidRPr="0059784A">
        <w:rPr>
          <w:rFonts w:eastAsia="DejaVuSans" w:cs="DejaVuSans"/>
          <w:sz w:val="24"/>
          <w:szCs w:val="24"/>
        </w:rPr>
        <w:t xml:space="preserve">ll’accorciamento del tempo di tromboplastina parziale </w:t>
      </w:r>
      <w:r w:rsidR="0066013E" w:rsidRPr="0059784A">
        <w:rPr>
          <w:rFonts w:eastAsia="DejaVuSans" w:cs="DejaVuSans"/>
          <w:sz w:val="24"/>
          <w:szCs w:val="24"/>
        </w:rPr>
        <w:t>attivat</w:t>
      </w:r>
      <w:r w:rsidR="0066013E">
        <w:rPr>
          <w:rFonts w:eastAsia="DejaVuSans" w:cs="DejaVuSans"/>
          <w:sz w:val="24"/>
          <w:szCs w:val="24"/>
        </w:rPr>
        <w:t>a</w:t>
      </w:r>
      <w:r w:rsidR="0066013E" w:rsidRPr="0059784A">
        <w:rPr>
          <w:rFonts w:eastAsia="DejaVuSans" w:cs="DejaVuSans"/>
          <w:sz w:val="24"/>
          <w:szCs w:val="24"/>
        </w:rPr>
        <w:t xml:space="preserve"> </w:t>
      </w:r>
      <w:r w:rsidR="0059784A" w:rsidRPr="0059784A">
        <w:rPr>
          <w:rFonts w:eastAsia="DejaVuSans" w:cs="DejaVuSans"/>
          <w:sz w:val="24"/>
          <w:szCs w:val="24"/>
        </w:rPr>
        <w:t xml:space="preserve">di un plasma contenente un alto titolo di inibitore del </w:t>
      </w:r>
      <w:r w:rsidR="000D22DE">
        <w:rPr>
          <w:rFonts w:eastAsia="DejaVuSans" w:cs="DejaVuSans"/>
          <w:sz w:val="24"/>
          <w:szCs w:val="24"/>
        </w:rPr>
        <w:t>Fattore VIII, ed è espressa in U</w:t>
      </w:r>
      <w:r w:rsidR="0059784A" w:rsidRPr="0059784A">
        <w:rPr>
          <w:rFonts w:eastAsia="DejaVuSans" w:cs="DejaVuSans"/>
          <w:sz w:val="24"/>
          <w:szCs w:val="24"/>
        </w:rPr>
        <w:t>nità FEIBA</w:t>
      </w:r>
      <w:r w:rsidR="00F33005">
        <w:rPr>
          <w:rFonts w:eastAsia="DejaVuSans" w:cs="DejaVuSans"/>
          <w:sz w:val="24"/>
          <w:szCs w:val="24"/>
        </w:rPr>
        <w:t xml:space="preserve"> (</w:t>
      </w:r>
      <w:r w:rsidR="00F33005" w:rsidRPr="00F33005">
        <w:rPr>
          <w:rFonts w:eastAsia="DejaVuSans" w:cs="DejaVuSans"/>
          <w:sz w:val="24"/>
          <w:szCs w:val="24"/>
        </w:rPr>
        <w:t>una Unità FEIBA, UF, corrisponde all’attività di FEIBA che riduce il tempo di tromboplastina parziale attivata di un plasma di riferimento contenente un alto titolo di inibitore del Fattore VIII alla metà del valore del tampone).</w:t>
      </w:r>
    </w:p>
    <w:p w14:paraId="405E8845" w14:textId="77777777" w:rsidR="007305B8" w:rsidRDefault="007305B8" w:rsidP="00BB2AF8">
      <w:pPr>
        <w:autoSpaceDE w:val="0"/>
        <w:autoSpaceDN w:val="0"/>
        <w:adjustRightInd w:val="0"/>
        <w:spacing w:after="0" w:line="240" w:lineRule="auto"/>
        <w:jc w:val="both"/>
        <w:rPr>
          <w:rFonts w:eastAsia="DejaVuSans" w:cs="DejaVuSans"/>
          <w:sz w:val="24"/>
          <w:szCs w:val="24"/>
        </w:rPr>
      </w:pPr>
    </w:p>
    <w:p w14:paraId="059EA007" w14:textId="77777777" w:rsidR="00BB2AF8" w:rsidRDefault="00BB2AF8" w:rsidP="00BB2AF8">
      <w:pPr>
        <w:autoSpaceDE w:val="0"/>
        <w:autoSpaceDN w:val="0"/>
        <w:adjustRightInd w:val="0"/>
        <w:spacing w:after="0" w:line="240" w:lineRule="auto"/>
        <w:jc w:val="both"/>
        <w:rPr>
          <w:rFonts w:eastAsia="Calibri" w:cs="Calibri"/>
          <w:b/>
          <w:bCs/>
          <w:sz w:val="24"/>
          <w:szCs w:val="24"/>
          <w:lang w:eastAsia="it-IT"/>
        </w:rPr>
      </w:pPr>
      <w:r w:rsidRPr="00B57B9E">
        <w:rPr>
          <w:rFonts w:eastAsia="Calibri" w:cs="Calibri"/>
          <w:b/>
          <w:bCs/>
          <w:sz w:val="24"/>
          <w:szCs w:val="24"/>
          <w:lang w:eastAsia="it-IT"/>
        </w:rPr>
        <w:t xml:space="preserve">4) COME È STATO STUDIATO </w:t>
      </w:r>
      <w:r w:rsidR="008A7C3F" w:rsidRPr="00B57B9E">
        <w:rPr>
          <w:rFonts w:eastAsia="Calibri" w:cs="Calibri"/>
          <w:b/>
          <w:color w:val="000000"/>
          <w:sz w:val="24"/>
          <w:szCs w:val="24"/>
          <w:lang w:eastAsia="it-IT"/>
        </w:rPr>
        <w:t>FEIBA</w:t>
      </w:r>
      <w:r w:rsidR="008515F7">
        <w:rPr>
          <w:rFonts w:eastAsia="Calibri" w:cs="Calibri"/>
          <w:b/>
          <w:color w:val="000000"/>
          <w:sz w:val="24"/>
          <w:szCs w:val="24"/>
          <w:lang w:eastAsia="it-IT"/>
        </w:rPr>
        <w:t>, 100 UF/mL</w:t>
      </w:r>
      <w:r w:rsidR="00E24204">
        <w:rPr>
          <w:rFonts w:eastAsia="Calibri" w:cs="Calibri"/>
          <w:b/>
          <w:color w:val="000000"/>
          <w:sz w:val="24"/>
          <w:szCs w:val="24"/>
          <w:lang w:eastAsia="it-IT"/>
        </w:rPr>
        <w:t>, polvere e solvente per infusione</w:t>
      </w:r>
      <w:r w:rsidRPr="00B57B9E">
        <w:rPr>
          <w:rFonts w:eastAsia="Calibri" w:cs="Calibri"/>
          <w:b/>
          <w:bCs/>
          <w:sz w:val="24"/>
          <w:szCs w:val="24"/>
          <w:lang w:eastAsia="it-IT"/>
        </w:rPr>
        <w:t xml:space="preserve">? </w:t>
      </w:r>
    </w:p>
    <w:p w14:paraId="316DE1AB" w14:textId="795FB00B" w:rsidR="0030181C" w:rsidRDefault="006B117F" w:rsidP="0059784A">
      <w:pPr>
        <w:tabs>
          <w:tab w:val="left" w:pos="8412"/>
        </w:tabs>
        <w:autoSpaceDE w:val="0"/>
        <w:autoSpaceDN w:val="0"/>
        <w:adjustRightInd w:val="0"/>
        <w:spacing w:after="0" w:line="240" w:lineRule="auto"/>
        <w:jc w:val="both"/>
        <w:rPr>
          <w:iCs/>
          <w:sz w:val="24"/>
          <w:szCs w:val="24"/>
        </w:rPr>
      </w:pPr>
      <w:r w:rsidRPr="00C05EAF">
        <w:rPr>
          <w:iCs/>
          <w:sz w:val="24"/>
          <w:szCs w:val="24"/>
        </w:rPr>
        <w:t xml:space="preserve">Dal momento che la domanda </w:t>
      </w:r>
      <w:r w:rsidR="00E24204" w:rsidRPr="00C05EAF">
        <w:rPr>
          <w:iCs/>
          <w:sz w:val="24"/>
          <w:szCs w:val="24"/>
        </w:rPr>
        <w:t>per l’</w:t>
      </w:r>
      <w:r w:rsidR="00A34061" w:rsidRPr="00C05EAF">
        <w:rPr>
          <w:iCs/>
          <w:sz w:val="24"/>
          <w:szCs w:val="24"/>
        </w:rPr>
        <w:t>autorizzazione di FEIBA, polvere e solvente per soluzione per infusione, da 100 UF/mL</w:t>
      </w:r>
      <w:r w:rsidR="00695FA9" w:rsidRPr="00C05EAF">
        <w:rPr>
          <w:iCs/>
          <w:sz w:val="24"/>
          <w:szCs w:val="24"/>
        </w:rPr>
        <w:t>,</w:t>
      </w:r>
      <w:r w:rsidR="00A34061" w:rsidRPr="00C05EAF">
        <w:rPr>
          <w:iCs/>
          <w:sz w:val="24"/>
          <w:szCs w:val="24"/>
        </w:rPr>
        <w:t xml:space="preserve"> </w:t>
      </w:r>
      <w:r w:rsidRPr="00C05EAF">
        <w:rPr>
          <w:iCs/>
          <w:sz w:val="24"/>
          <w:szCs w:val="24"/>
        </w:rPr>
        <w:t xml:space="preserve">è stata presentata come </w:t>
      </w:r>
      <w:r w:rsidR="00FB6F3A" w:rsidRPr="00C05EAF">
        <w:rPr>
          <w:i/>
          <w:iCs/>
          <w:sz w:val="24"/>
          <w:szCs w:val="24"/>
        </w:rPr>
        <w:t>line extension</w:t>
      </w:r>
      <w:r w:rsidRPr="00C05EAF">
        <w:rPr>
          <w:iCs/>
          <w:sz w:val="24"/>
          <w:szCs w:val="24"/>
        </w:rPr>
        <w:t xml:space="preserve"> del medicinale </w:t>
      </w:r>
      <w:r w:rsidR="00E24204" w:rsidRPr="00C05EAF">
        <w:rPr>
          <w:iCs/>
          <w:sz w:val="24"/>
          <w:szCs w:val="24"/>
        </w:rPr>
        <w:t xml:space="preserve">già </w:t>
      </w:r>
      <w:r w:rsidRPr="00C05EAF">
        <w:rPr>
          <w:iCs/>
          <w:sz w:val="24"/>
          <w:szCs w:val="24"/>
        </w:rPr>
        <w:t xml:space="preserve">autorizzato </w:t>
      </w:r>
      <w:r w:rsidR="002948D9" w:rsidRPr="00C05EAF">
        <w:rPr>
          <w:iCs/>
          <w:sz w:val="24"/>
          <w:szCs w:val="24"/>
        </w:rPr>
        <w:t>FEIBA</w:t>
      </w:r>
      <w:r w:rsidRPr="00C05EAF">
        <w:rPr>
          <w:iCs/>
          <w:sz w:val="24"/>
          <w:szCs w:val="24"/>
        </w:rPr>
        <w:t xml:space="preserve">, </w:t>
      </w:r>
      <w:r w:rsidR="00E064C5">
        <w:rPr>
          <w:iCs/>
          <w:sz w:val="24"/>
          <w:szCs w:val="24"/>
        </w:rPr>
        <w:t xml:space="preserve">alle concentrazioni 25 UF/mL e </w:t>
      </w:r>
      <w:r w:rsidR="008515F7" w:rsidRPr="00C05EAF">
        <w:rPr>
          <w:iCs/>
          <w:sz w:val="24"/>
          <w:szCs w:val="24"/>
        </w:rPr>
        <w:t>50 UF/mL polvere e solven</w:t>
      </w:r>
      <w:r w:rsidR="00EE58E0">
        <w:rPr>
          <w:iCs/>
          <w:sz w:val="24"/>
          <w:szCs w:val="24"/>
        </w:rPr>
        <w:t>te per soluzione per infusione,</w:t>
      </w:r>
      <w:r w:rsidR="00DE6168" w:rsidRPr="00C05EAF">
        <w:rPr>
          <w:iCs/>
          <w:sz w:val="24"/>
          <w:szCs w:val="24"/>
        </w:rPr>
        <w:t xml:space="preserve"> </w:t>
      </w:r>
      <w:r w:rsidRPr="00C05EAF">
        <w:rPr>
          <w:iCs/>
          <w:sz w:val="24"/>
          <w:szCs w:val="24"/>
        </w:rPr>
        <w:t xml:space="preserve">la </w:t>
      </w:r>
      <w:r w:rsidR="00E24204" w:rsidRPr="00C05EAF">
        <w:rPr>
          <w:iCs/>
          <w:sz w:val="24"/>
          <w:szCs w:val="24"/>
        </w:rPr>
        <w:t>S</w:t>
      </w:r>
      <w:r w:rsidRPr="00C05EAF">
        <w:rPr>
          <w:iCs/>
          <w:sz w:val="24"/>
          <w:szCs w:val="24"/>
        </w:rPr>
        <w:t xml:space="preserve">ocietà </w:t>
      </w:r>
      <w:r w:rsidR="00EC1E31" w:rsidRPr="00C05EAF">
        <w:rPr>
          <w:iCs/>
          <w:sz w:val="24"/>
          <w:szCs w:val="24"/>
        </w:rPr>
        <w:t>per la docum</w:t>
      </w:r>
      <w:r w:rsidR="00E24204" w:rsidRPr="00C05EAF">
        <w:rPr>
          <w:iCs/>
          <w:sz w:val="24"/>
          <w:szCs w:val="24"/>
        </w:rPr>
        <w:t>entazione clinica</w:t>
      </w:r>
      <w:r w:rsidR="00EC1E31" w:rsidRPr="00C05EAF">
        <w:rPr>
          <w:iCs/>
          <w:sz w:val="24"/>
          <w:szCs w:val="24"/>
        </w:rPr>
        <w:t xml:space="preserve"> </w:t>
      </w:r>
      <w:r w:rsidR="00D02630" w:rsidRPr="00C05EAF">
        <w:rPr>
          <w:iCs/>
          <w:sz w:val="24"/>
          <w:szCs w:val="24"/>
        </w:rPr>
        <w:t>relativa al</w:t>
      </w:r>
      <w:r w:rsidR="00EC1E31" w:rsidRPr="00C05EAF">
        <w:rPr>
          <w:iCs/>
          <w:sz w:val="24"/>
          <w:szCs w:val="24"/>
        </w:rPr>
        <w:t xml:space="preserve">l’efficacia e </w:t>
      </w:r>
      <w:r w:rsidR="00D02630" w:rsidRPr="00C05EAF">
        <w:rPr>
          <w:iCs/>
          <w:sz w:val="24"/>
          <w:szCs w:val="24"/>
        </w:rPr>
        <w:t>al</w:t>
      </w:r>
      <w:r w:rsidR="00EC1E31" w:rsidRPr="00C05EAF">
        <w:rPr>
          <w:iCs/>
          <w:sz w:val="24"/>
          <w:szCs w:val="24"/>
        </w:rPr>
        <w:t xml:space="preserve">la sicurezza del medicinale </w:t>
      </w:r>
      <w:r w:rsidR="00D02630" w:rsidRPr="00C05EAF">
        <w:rPr>
          <w:iCs/>
          <w:sz w:val="24"/>
          <w:szCs w:val="24"/>
        </w:rPr>
        <w:t>nel trattamento de</w:t>
      </w:r>
      <w:r w:rsidR="00EC1E31" w:rsidRPr="00C05EAF">
        <w:rPr>
          <w:iCs/>
          <w:sz w:val="24"/>
          <w:szCs w:val="24"/>
        </w:rPr>
        <w:t>gli episodi emorragici,</w:t>
      </w:r>
      <w:r w:rsidR="00E24204" w:rsidRPr="00C05EAF">
        <w:rPr>
          <w:iCs/>
          <w:sz w:val="24"/>
          <w:szCs w:val="24"/>
        </w:rPr>
        <w:t xml:space="preserve"> ha fatto riferimento a quanto già presentato e approvato</w:t>
      </w:r>
      <w:r w:rsidR="003D4BA2">
        <w:rPr>
          <w:iCs/>
          <w:sz w:val="24"/>
          <w:szCs w:val="24"/>
        </w:rPr>
        <w:t>.</w:t>
      </w:r>
    </w:p>
    <w:p w14:paraId="5F772EA4" w14:textId="6834C100" w:rsidR="00E24469" w:rsidRPr="00F51CC2" w:rsidRDefault="00E24469" w:rsidP="0059784A">
      <w:pPr>
        <w:tabs>
          <w:tab w:val="left" w:pos="8412"/>
        </w:tabs>
        <w:autoSpaceDE w:val="0"/>
        <w:autoSpaceDN w:val="0"/>
        <w:adjustRightInd w:val="0"/>
        <w:spacing w:after="0" w:line="240" w:lineRule="auto"/>
        <w:jc w:val="both"/>
        <w:rPr>
          <w:iCs/>
          <w:sz w:val="24"/>
          <w:szCs w:val="24"/>
        </w:rPr>
      </w:pPr>
      <w:r>
        <w:rPr>
          <w:iCs/>
          <w:sz w:val="24"/>
          <w:szCs w:val="24"/>
        </w:rPr>
        <w:lastRenderedPageBreak/>
        <w:t xml:space="preserve">Sono </w:t>
      </w:r>
      <w:r w:rsidR="00D02630">
        <w:rPr>
          <w:iCs/>
          <w:sz w:val="24"/>
          <w:szCs w:val="24"/>
        </w:rPr>
        <w:t xml:space="preserve">inoltre </w:t>
      </w:r>
      <w:r>
        <w:rPr>
          <w:iCs/>
          <w:sz w:val="24"/>
          <w:szCs w:val="24"/>
        </w:rPr>
        <w:t xml:space="preserve">stati presentati </w:t>
      </w:r>
      <w:r w:rsidRPr="00E24469">
        <w:rPr>
          <w:iCs/>
          <w:sz w:val="24"/>
          <w:szCs w:val="24"/>
        </w:rPr>
        <w:t>cinque nuovi studi non clinici</w:t>
      </w:r>
      <w:r>
        <w:rPr>
          <w:iCs/>
          <w:sz w:val="24"/>
          <w:szCs w:val="24"/>
        </w:rPr>
        <w:t xml:space="preserve"> e tre nuovi studi clinici.</w:t>
      </w:r>
      <w:r w:rsidR="0028142D" w:rsidRPr="0028142D">
        <w:t xml:space="preserve"> </w:t>
      </w:r>
      <w:r w:rsidR="0028142D" w:rsidRPr="0028142D">
        <w:rPr>
          <w:iCs/>
          <w:sz w:val="24"/>
          <w:szCs w:val="24"/>
        </w:rPr>
        <w:t>Gli studi dimostrano che la somministrazione a diverse velocità di infusione non influisce sull’azione del medicinale e sull’insorgenza di eventi avversi legati alla sua attività.</w:t>
      </w:r>
    </w:p>
    <w:p w14:paraId="7A453B64" w14:textId="77777777" w:rsidR="0032650C" w:rsidRPr="000164BE" w:rsidRDefault="0032650C" w:rsidP="00BB2AF8">
      <w:pPr>
        <w:autoSpaceDE w:val="0"/>
        <w:autoSpaceDN w:val="0"/>
        <w:adjustRightInd w:val="0"/>
        <w:spacing w:after="0" w:line="240" w:lineRule="auto"/>
        <w:jc w:val="both"/>
        <w:rPr>
          <w:rFonts w:eastAsia="Calibri" w:cs="Calibri"/>
          <w:lang w:eastAsia="it-IT"/>
        </w:rPr>
      </w:pPr>
    </w:p>
    <w:p w14:paraId="4D046828" w14:textId="77777777" w:rsidR="00BB2AF8" w:rsidRDefault="00BB2AF8" w:rsidP="00BB2AF8">
      <w:pPr>
        <w:autoSpaceDE w:val="0"/>
        <w:autoSpaceDN w:val="0"/>
        <w:adjustRightInd w:val="0"/>
        <w:spacing w:after="0" w:line="240" w:lineRule="auto"/>
        <w:jc w:val="both"/>
        <w:rPr>
          <w:rFonts w:eastAsia="Calibri" w:cstheme="minorHAnsi"/>
          <w:sz w:val="24"/>
          <w:szCs w:val="24"/>
          <w:lang w:eastAsia="it-IT"/>
        </w:rPr>
      </w:pPr>
      <w:r w:rsidRPr="00F22D5A">
        <w:rPr>
          <w:rFonts w:eastAsia="Calibri" w:cstheme="minorHAnsi"/>
          <w:b/>
          <w:bCs/>
          <w:sz w:val="24"/>
          <w:szCs w:val="24"/>
          <w:lang w:eastAsia="it-IT"/>
        </w:rPr>
        <w:t xml:space="preserve">5) </w:t>
      </w:r>
      <w:r w:rsidR="006B117F" w:rsidRPr="006B117F">
        <w:rPr>
          <w:rFonts w:eastAsia="Calibri" w:cstheme="minorHAnsi"/>
          <w:b/>
          <w:bCs/>
          <w:sz w:val="24"/>
          <w:szCs w:val="24"/>
          <w:lang w:eastAsia="it-IT"/>
        </w:rPr>
        <w:t xml:space="preserve">QUAL È IL RAPPORTO BENEFICIO/RISCHIO DI </w:t>
      </w:r>
      <w:r w:rsidR="00F22D5A" w:rsidRPr="00F22D5A">
        <w:rPr>
          <w:rFonts w:eastAsia="Calibri" w:cstheme="minorHAnsi"/>
          <w:b/>
          <w:bCs/>
          <w:sz w:val="24"/>
          <w:szCs w:val="24"/>
          <w:lang w:eastAsia="it-IT"/>
        </w:rPr>
        <w:t>FEIBA</w:t>
      </w:r>
      <w:r w:rsidR="00854FE9">
        <w:rPr>
          <w:rFonts w:eastAsia="Calibri" w:cstheme="minorHAnsi"/>
          <w:b/>
          <w:bCs/>
          <w:sz w:val="24"/>
          <w:szCs w:val="24"/>
          <w:lang w:eastAsia="it-IT"/>
        </w:rPr>
        <w:t>, 100 UF/mL, polvere e solvente per infusione</w:t>
      </w:r>
      <w:r w:rsidRPr="00F22D5A">
        <w:rPr>
          <w:rFonts w:eastAsia="Calibri" w:cstheme="minorHAnsi"/>
          <w:b/>
          <w:sz w:val="24"/>
          <w:szCs w:val="24"/>
          <w:lang w:eastAsia="it-IT"/>
        </w:rPr>
        <w:t>?</w:t>
      </w:r>
      <w:r w:rsidRPr="00F22D5A">
        <w:rPr>
          <w:rFonts w:eastAsia="Calibri" w:cstheme="minorHAnsi"/>
          <w:sz w:val="24"/>
          <w:szCs w:val="24"/>
          <w:lang w:eastAsia="it-IT"/>
        </w:rPr>
        <w:t xml:space="preserve"> </w:t>
      </w:r>
    </w:p>
    <w:p w14:paraId="3D1CB80C" w14:textId="77BBA653" w:rsidR="004936B9" w:rsidRDefault="00FE39FE" w:rsidP="004936B9">
      <w:pPr>
        <w:autoSpaceDE w:val="0"/>
        <w:autoSpaceDN w:val="0"/>
        <w:adjustRightInd w:val="0"/>
        <w:spacing w:after="0" w:line="240" w:lineRule="auto"/>
        <w:jc w:val="both"/>
        <w:rPr>
          <w:rFonts w:eastAsia="Calibri" w:cstheme="minorHAnsi"/>
          <w:sz w:val="24"/>
          <w:szCs w:val="24"/>
          <w:lang w:eastAsia="it-IT"/>
        </w:rPr>
      </w:pPr>
      <w:r w:rsidRPr="00FE39FE">
        <w:rPr>
          <w:rFonts w:eastAsia="Calibri" w:cstheme="minorHAnsi"/>
          <w:sz w:val="24"/>
          <w:szCs w:val="24"/>
          <w:lang w:eastAsia="it-IT"/>
        </w:rPr>
        <w:t xml:space="preserve">I dati presentati a supporto dell’autorizzazione all’immissione in commercio di </w:t>
      </w:r>
      <w:r w:rsidR="000C16A4" w:rsidRPr="00FE39FE">
        <w:rPr>
          <w:rFonts w:eastAsia="Calibri" w:cstheme="minorHAnsi"/>
          <w:sz w:val="24"/>
          <w:szCs w:val="24"/>
          <w:lang w:eastAsia="it-IT"/>
        </w:rPr>
        <w:t>FEIBA</w:t>
      </w:r>
      <w:r w:rsidRPr="00FE39FE">
        <w:rPr>
          <w:rFonts w:eastAsia="Calibri" w:cstheme="minorHAnsi"/>
          <w:sz w:val="24"/>
          <w:szCs w:val="24"/>
          <w:lang w:eastAsia="it-IT"/>
        </w:rPr>
        <w:t xml:space="preserve">, 100 UF/mL, polvere e solvente per infusione, hanno dimostrato che i benefici per l’uso di </w:t>
      </w:r>
      <w:r w:rsidR="000C16A4" w:rsidRPr="00FE39FE">
        <w:rPr>
          <w:rFonts w:eastAsia="Calibri" w:cstheme="minorHAnsi"/>
          <w:sz w:val="24"/>
          <w:szCs w:val="24"/>
          <w:lang w:eastAsia="it-IT"/>
        </w:rPr>
        <w:t>FEIBA</w:t>
      </w:r>
      <w:r w:rsidRPr="00FE39FE">
        <w:rPr>
          <w:rFonts w:eastAsia="Calibri" w:cstheme="minorHAnsi"/>
          <w:sz w:val="24"/>
          <w:szCs w:val="24"/>
          <w:lang w:eastAsia="it-IT"/>
        </w:rPr>
        <w:t>, 100 UF/mL, polvere e solvente per infusione, quando assunto per bloccare episodi emorragici</w:t>
      </w:r>
      <w:r>
        <w:rPr>
          <w:rFonts w:eastAsia="Calibri" w:cstheme="minorHAnsi"/>
          <w:sz w:val="24"/>
          <w:szCs w:val="24"/>
          <w:lang w:eastAsia="it-IT"/>
        </w:rPr>
        <w:t>,</w:t>
      </w:r>
      <w:r w:rsidRPr="00FE39FE">
        <w:rPr>
          <w:rFonts w:eastAsia="Calibri" w:cstheme="minorHAnsi"/>
          <w:sz w:val="24"/>
          <w:szCs w:val="24"/>
          <w:lang w:eastAsia="it-IT"/>
        </w:rPr>
        <w:t xml:space="preserve"> sono superiori ai suoi rischi. </w:t>
      </w:r>
      <w:r w:rsidR="005512FD" w:rsidRPr="00FE39FE">
        <w:rPr>
          <w:rFonts w:eastAsia="Calibri" w:cstheme="minorHAnsi"/>
          <w:sz w:val="24"/>
          <w:szCs w:val="24"/>
          <w:lang w:eastAsia="it-IT"/>
        </w:rPr>
        <w:t>Pertanto,</w:t>
      </w:r>
      <w:r w:rsidRPr="00FE39FE">
        <w:rPr>
          <w:rFonts w:eastAsia="Calibri" w:cstheme="minorHAnsi"/>
          <w:sz w:val="24"/>
          <w:szCs w:val="24"/>
          <w:lang w:eastAsia="it-IT"/>
        </w:rPr>
        <w:t xml:space="preserve"> il rapporto beneficio/rischio è stato considerato favorevole per l’autorizzazione all’immissione in commercio di </w:t>
      </w:r>
      <w:r w:rsidR="000C16A4" w:rsidRPr="00FE39FE">
        <w:rPr>
          <w:rFonts w:eastAsia="Calibri" w:cstheme="minorHAnsi"/>
          <w:sz w:val="24"/>
          <w:szCs w:val="24"/>
          <w:lang w:eastAsia="it-IT"/>
        </w:rPr>
        <w:t>FEIBA</w:t>
      </w:r>
      <w:r w:rsidRPr="00FE39FE">
        <w:rPr>
          <w:rFonts w:eastAsia="Calibri" w:cstheme="minorHAnsi"/>
          <w:sz w:val="24"/>
          <w:szCs w:val="24"/>
          <w:lang w:eastAsia="it-IT"/>
        </w:rPr>
        <w:t xml:space="preserve">, 100 UF/mL, polvere e solvente per infusione. I più comuni effetti indesiderati riscontrati con </w:t>
      </w:r>
      <w:r w:rsidR="000C16A4" w:rsidRPr="004936B9">
        <w:rPr>
          <w:rFonts w:eastAsia="Calibri" w:cstheme="minorHAnsi"/>
          <w:sz w:val="24"/>
          <w:szCs w:val="24"/>
          <w:lang w:eastAsia="it-IT"/>
        </w:rPr>
        <w:t>FEIBA</w:t>
      </w:r>
      <w:r w:rsidR="00E86E11">
        <w:rPr>
          <w:rFonts w:eastAsia="Calibri" w:cstheme="minorHAnsi"/>
          <w:sz w:val="24"/>
          <w:szCs w:val="24"/>
          <w:lang w:eastAsia="it-IT"/>
        </w:rPr>
        <w:t xml:space="preserve">, 100 </w:t>
      </w:r>
      <w:r w:rsidR="004936B9" w:rsidRPr="004936B9">
        <w:rPr>
          <w:rFonts w:eastAsia="Calibri" w:cstheme="minorHAnsi"/>
          <w:sz w:val="24"/>
          <w:szCs w:val="24"/>
          <w:lang w:eastAsia="it-IT"/>
        </w:rPr>
        <w:t>UF/mL, po</w:t>
      </w:r>
      <w:r w:rsidR="004936B9">
        <w:rPr>
          <w:rFonts w:eastAsia="Calibri" w:cstheme="minorHAnsi"/>
          <w:sz w:val="24"/>
          <w:szCs w:val="24"/>
          <w:lang w:eastAsia="it-IT"/>
        </w:rPr>
        <w:t xml:space="preserve">lvere e solvente per infusione, </w:t>
      </w:r>
      <w:r w:rsidRPr="00FE39FE">
        <w:rPr>
          <w:rFonts w:eastAsia="Calibri" w:cstheme="minorHAnsi"/>
          <w:sz w:val="24"/>
          <w:szCs w:val="24"/>
          <w:lang w:eastAsia="it-IT"/>
        </w:rPr>
        <w:t>sono</w:t>
      </w:r>
      <w:r w:rsidR="004936B9">
        <w:rPr>
          <w:rFonts w:eastAsia="Calibri" w:cstheme="minorHAnsi"/>
          <w:sz w:val="24"/>
          <w:szCs w:val="24"/>
          <w:lang w:eastAsia="it-IT"/>
        </w:rPr>
        <w:t>:</w:t>
      </w:r>
      <w:r w:rsidRPr="00FE39FE">
        <w:rPr>
          <w:rFonts w:eastAsia="Calibri" w:cstheme="minorHAnsi"/>
          <w:sz w:val="24"/>
          <w:szCs w:val="24"/>
          <w:lang w:eastAsia="it-IT"/>
        </w:rPr>
        <w:t xml:space="preserve"> </w:t>
      </w:r>
      <w:r w:rsidR="004936B9" w:rsidRPr="004936B9">
        <w:rPr>
          <w:rFonts w:eastAsia="Calibri" w:cstheme="minorHAnsi"/>
          <w:sz w:val="24"/>
          <w:szCs w:val="24"/>
          <w:lang w:eastAsia="it-IT"/>
        </w:rPr>
        <w:t>capogiro</w:t>
      </w:r>
      <w:r w:rsidR="004936B9">
        <w:rPr>
          <w:rFonts w:eastAsia="Calibri" w:cstheme="minorHAnsi"/>
          <w:sz w:val="24"/>
          <w:szCs w:val="24"/>
          <w:lang w:eastAsia="it-IT"/>
        </w:rPr>
        <w:t xml:space="preserve">, cefalea, eruzione cutanea, </w:t>
      </w:r>
      <w:r w:rsidR="004936B9" w:rsidRPr="004936B9">
        <w:rPr>
          <w:rFonts w:eastAsia="Calibri" w:cstheme="minorHAnsi"/>
          <w:sz w:val="24"/>
          <w:szCs w:val="24"/>
          <w:lang w:eastAsia="it-IT"/>
        </w:rPr>
        <w:t>abbassamento della pre</w:t>
      </w:r>
      <w:r w:rsidR="004936B9">
        <w:rPr>
          <w:rFonts w:eastAsia="Calibri" w:cstheme="minorHAnsi"/>
          <w:sz w:val="24"/>
          <w:szCs w:val="24"/>
          <w:lang w:eastAsia="it-IT"/>
        </w:rPr>
        <w:t xml:space="preserve">ssione del sangue (ipotensione), </w:t>
      </w:r>
      <w:r w:rsidR="004936B9" w:rsidRPr="004936B9">
        <w:rPr>
          <w:rFonts w:eastAsia="Calibri" w:cstheme="minorHAnsi"/>
          <w:sz w:val="24"/>
          <w:szCs w:val="24"/>
          <w:lang w:eastAsia="it-IT"/>
        </w:rPr>
        <w:t>reazioni di ipersensibilità</w:t>
      </w:r>
      <w:r w:rsidR="00E6635E">
        <w:rPr>
          <w:rFonts w:eastAsia="Calibri" w:cstheme="minorHAnsi"/>
          <w:sz w:val="24"/>
          <w:szCs w:val="24"/>
          <w:lang w:eastAsia="it-IT"/>
        </w:rPr>
        <w:t>,</w:t>
      </w:r>
      <w:r w:rsidR="00E6635E">
        <w:rPr>
          <w:rStyle w:val="Rimandocommento"/>
        </w:rPr>
        <w:t xml:space="preserve"> </w:t>
      </w:r>
      <w:r w:rsidR="00E6635E" w:rsidRPr="0015644A">
        <w:rPr>
          <w:rStyle w:val="Rimandocommento"/>
          <w:rFonts w:ascii="Calibri" w:hAnsi="Calibri" w:cs="Calibri"/>
          <w:sz w:val="24"/>
          <w:szCs w:val="24"/>
        </w:rPr>
        <w:t>ri</w:t>
      </w:r>
      <w:r w:rsidR="00E6635E" w:rsidRPr="0015644A">
        <w:rPr>
          <w:rFonts w:ascii="Calibri" w:eastAsia="Calibri" w:hAnsi="Calibri" w:cs="Calibri"/>
          <w:sz w:val="24"/>
          <w:szCs w:val="24"/>
          <w:lang w:eastAsia="it-IT"/>
        </w:rPr>
        <w:t>sultati</w:t>
      </w:r>
      <w:r w:rsidR="00E6635E" w:rsidRPr="00E6635E">
        <w:rPr>
          <w:rFonts w:eastAsia="Calibri" w:cstheme="minorHAnsi"/>
          <w:sz w:val="24"/>
          <w:szCs w:val="24"/>
          <w:lang w:eastAsia="it-IT"/>
        </w:rPr>
        <w:t xml:space="preserve"> falsi positivi dei test di laboratorio per l’epatite B (anticorpi anti-antigene di superficie dell’epatite B positivi)</w:t>
      </w:r>
      <w:r w:rsidR="00D02630">
        <w:rPr>
          <w:rFonts w:eastAsia="Calibri" w:cstheme="minorHAnsi"/>
          <w:sz w:val="24"/>
          <w:szCs w:val="24"/>
          <w:lang w:eastAsia="it-IT"/>
        </w:rPr>
        <w:t>.</w:t>
      </w:r>
    </w:p>
    <w:p w14:paraId="11CD8552" w14:textId="77777777" w:rsidR="00FE39FE" w:rsidRDefault="00FE39FE" w:rsidP="00FE39FE">
      <w:pPr>
        <w:autoSpaceDE w:val="0"/>
        <w:autoSpaceDN w:val="0"/>
        <w:adjustRightInd w:val="0"/>
        <w:spacing w:after="0" w:line="240" w:lineRule="auto"/>
        <w:jc w:val="both"/>
        <w:rPr>
          <w:rFonts w:eastAsia="Calibri" w:cstheme="minorHAnsi"/>
          <w:sz w:val="24"/>
          <w:szCs w:val="24"/>
          <w:lang w:eastAsia="it-IT"/>
        </w:rPr>
      </w:pPr>
      <w:r w:rsidRPr="00FE39FE">
        <w:rPr>
          <w:rFonts w:eastAsia="Calibri" w:cstheme="minorHAnsi"/>
          <w:sz w:val="24"/>
          <w:szCs w:val="24"/>
          <w:lang w:eastAsia="it-IT"/>
        </w:rPr>
        <w:t xml:space="preserve">Per l’elenco completo degli effetti indesiderati rilevati con </w:t>
      </w:r>
      <w:r w:rsidR="000C16A4" w:rsidRPr="004936B9">
        <w:rPr>
          <w:rFonts w:eastAsia="Calibri" w:cstheme="minorHAnsi"/>
          <w:sz w:val="24"/>
          <w:szCs w:val="24"/>
          <w:lang w:eastAsia="it-IT"/>
        </w:rPr>
        <w:t>FEIBA</w:t>
      </w:r>
      <w:r w:rsidR="004936B9" w:rsidRPr="004936B9">
        <w:rPr>
          <w:rFonts w:eastAsia="Calibri" w:cstheme="minorHAnsi"/>
          <w:sz w:val="24"/>
          <w:szCs w:val="24"/>
          <w:lang w:eastAsia="it-IT"/>
        </w:rPr>
        <w:t>, 100 UF/mL, polvere e solvente per infusione</w:t>
      </w:r>
      <w:r w:rsidR="004936B9">
        <w:rPr>
          <w:rFonts w:eastAsia="Calibri" w:cstheme="minorHAnsi"/>
          <w:sz w:val="24"/>
          <w:szCs w:val="24"/>
          <w:lang w:eastAsia="it-IT"/>
        </w:rPr>
        <w:t xml:space="preserve">, </w:t>
      </w:r>
      <w:r w:rsidRPr="00FE39FE">
        <w:rPr>
          <w:rFonts w:eastAsia="Calibri" w:cstheme="minorHAnsi"/>
          <w:sz w:val="24"/>
          <w:szCs w:val="24"/>
          <w:lang w:eastAsia="it-IT"/>
        </w:rPr>
        <w:t>si rimanda al foglio illustrativo.</w:t>
      </w:r>
    </w:p>
    <w:p w14:paraId="14804FEB" w14:textId="77777777" w:rsidR="005B3B50" w:rsidRPr="000164BE" w:rsidRDefault="005B3B50" w:rsidP="00943785">
      <w:pPr>
        <w:autoSpaceDE w:val="0"/>
        <w:autoSpaceDN w:val="0"/>
        <w:adjustRightInd w:val="0"/>
        <w:spacing w:after="0" w:line="240" w:lineRule="auto"/>
        <w:jc w:val="both"/>
        <w:rPr>
          <w:rFonts w:eastAsia="Calibri" w:cs="Calibri"/>
          <w:lang w:eastAsia="it-IT"/>
        </w:rPr>
      </w:pPr>
    </w:p>
    <w:p w14:paraId="19869588" w14:textId="2EBE4087" w:rsidR="00BB2AF8" w:rsidRDefault="00BB2AF8" w:rsidP="00BB2AF8">
      <w:pPr>
        <w:autoSpaceDE w:val="0"/>
        <w:autoSpaceDN w:val="0"/>
        <w:adjustRightInd w:val="0"/>
        <w:spacing w:after="0" w:line="240" w:lineRule="auto"/>
        <w:jc w:val="both"/>
        <w:rPr>
          <w:rFonts w:eastAsia="Calibri" w:cs="Calibri"/>
          <w:b/>
          <w:bCs/>
          <w:sz w:val="24"/>
          <w:szCs w:val="24"/>
          <w:lang w:eastAsia="it-IT"/>
        </w:rPr>
      </w:pPr>
      <w:r w:rsidRPr="00844083">
        <w:rPr>
          <w:rFonts w:eastAsia="Calibri" w:cs="Calibri"/>
          <w:b/>
          <w:bCs/>
          <w:sz w:val="24"/>
          <w:szCs w:val="24"/>
          <w:lang w:eastAsia="it-IT"/>
        </w:rPr>
        <w:t>6) PERCH</w:t>
      </w:r>
      <w:r w:rsidR="003E2B21">
        <w:rPr>
          <w:rFonts w:ascii="Aptos" w:eastAsia="Calibri" w:hAnsi="Aptos" w:cs="Calibri"/>
          <w:b/>
          <w:bCs/>
          <w:sz w:val="24"/>
          <w:szCs w:val="24"/>
          <w:lang w:eastAsia="it-IT"/>
        </w:rPr>
        <w:t>É</w:t>
      </w:r>
      <w:r w:rsidRPr="00844083">
        <w:rPr>
          <w:rFonts w:eastAsia="Calibri" w:cs="Calibri"/>
          <w:b/>
          <w:bCs/>
          <w:sz w:val="24"/>
          <w:szCs w:val="24"/>
          <w:lang w:eastAsia="it-IT"/>
        </w:rPr>
        <w:t xml:space="preserve"> </w:t>
      </w:r>
      <w:r w:rsidR="00844083">
        <w:rPr>
          <w:rFonts w:eastAsia="Calibri" w:cs="Calibri"/>
          <w:b/>
          <w:color w:val="000000"/>
          <w:sz w:val="24"/>
          <w:szCs w:val="24"/>
          <w:lang w:eastAsia="it-IT"/>
        </w:rPr>
        <w:t>FEIBA</w:t>
      </w:r>
      <w:r w:rsidR="00E106F2">
        <w:rPr>
          <w:rFonts w:eastAsia="Calibri" w:cs="Calibri"/>
          <w:b/>
          <w:color w:val="000000"/>
          <w:sz w:val="24"/>
          <w:szCs w:val="24"/>
          <w:lang w:eastAsia="it-IT"/>
        </w:rPr>
        <w:t xml:space="preserve">, 100 UF/mL, polvere e solvente per infusione, </w:t>
      </w:r>
      <w:r w:rsidR="003E2B21" w:rsidRPr="00844083">
        <w:rPr>
          <w:rFonts w:eastAsia="Calibri" w:cs="Calibri"/>
          <w:b/>
          <w:bCs/>
          <w:sz w:val="24"/>
          <w:szCs w:val="24"/>
          <w:lang w:eastAsia="it-IT"/>
        </w:rPr>
        <w:t>È</w:t>
      </w:r>
      <w:r w:rsidRPr="00844083">
        <w:rPr>
          <w:rFonts w:eastAsia="Calibri" w:cs="Calibri"/>
          <w:b/>
          <w:bCs/>
          <w:sz w:val="24"/>
          <w:szCs w:val="24"/>
          <w:lang w:eastAsia="it-IT"/>
        </w:rPr>
        <w:t xml:space="preserve"> STATO APPROVATO? </w:t>
      </w:r>
    </w:p>
    <w:p w14:paraId="5B234DDC" w14:textId="4ADD1D0D" w:rsidR="006B117F" w:rsidRPr="00E07512" w:rsidRDefault="006B117F" w:rsidP="006B117F">
      <w:pPr>
        <w:autoSpaceDE w:val="0"/>
        <w:autoSpaceDN w:val="0"/>
        <w:adjustRightInd w:val="0"/>
        <w:spacing w:after="0" w:line="240" w:lineRule="auto"/>
        <w:jc w:val="both"/>
        <w:rPr>
          <w:rFonts w:cs="Calibri"/>
          <w:b/>
          <w:bCs/>
          <w:sz w:val="24"/>
          <w:szCs w:val="24"/>
          <w:lang w:eastAsia="it-IT"/>
        </w:rPr>
      </w:pPr>
      <w:r w:rsidRPr="00E07512">
        <w:rPr>
          <w:rFonts w:cs="Calibri"/>
          <w:sz w:val="24"/>
          <w:szCs w:val="24"/>
          <w:lang w:eastAsia="it-IT"/>
        </w:rPr>
        <w:t xml:space="preserve">A seguito dell’istruttoria condotta dall’AIFA, conformemente ai requisiti della normativa vigente, </w:t>
      </w:r>
      <w:r w:rsidR="004B0C08">
        <w:rPr>
          <w:rFonts w:cs="Calibri"/>
          <w:sz w:val="24"/>
          <w:szCs w:val="24"/>
          <w:lang w:eastAsia="it-IT"/>
        </w:rPr>
        <w:t xml:space="preserve">come </w:t>
      </w:r>
      <w:r w:rsidR="00D02630" w:rsidRPr="00C314D7">
        <w:rPr>
          <w:rFonts w:cs="Calibri"/>
          <w:sz w:val="24"/>
          <w:szCs w:val="24"/>
          <w:lang w:eastAsia="it-IT"/>
        </w:rPr>
        <w:t>per</w:t>
      </w:r>
      <w:r w:rsidR="004B0C08" w:rsidRPr="00C314D7">
        <w:rPr>
          <w:rFonts w:cs="Calibri"/>
          <w:sz w:val="24"/>
          <w:szCs w:val="24"/>
          <w:lang w:eastAsia="it-IT"/>
        </w:rPr>
        <w:t xml:space="preserve"> </w:t>
      </w:r>
      <w:r w:rsidR="000C16A4" w:rsidRPr="00C314D7">
        <w:rPr>
          <w:rFonts w:cs="Calibri"/>
          <w:sz w:val="24"/>
          <w:szCs w:val="24"/>
          <w:lang w:eastAsia="it-IT"/>
        </w:rPr>
        <w:t>FEIBA</w:t>
      </w:r>
      <w:r w:rsidR="00E106F2" w:rsidRPr="00C314D7">
        <w:rPr>
          <w:rFonts w:cs="Calibri"/>
          <w:sz w:val="24"/>
          <w:szCs w:val="24"/>
          <w:lang w:eastAsia="it-IT"/>
        </w:rPr>
        <w:t xml:space="preserve">, </w:t>
      </w:r>
      <w:r w:rsidR="004B0C08" w:rsidRPr="00C314D7">
        <w:rPr>
          <w:rFonts w:cs="Calibri"/>
          <w:sz w:val="24"/>
          <w:szCs w:val="24"/>
          <w:lang w:eastAsia="it-IT"/>
        </w:rPr>
        <w:t>50 UF/mL</w:t>
      </w:r>
      <w:r w:rsidR="00E106F2" w:rsidRPr="00C314D7">
        <w:rPr>
          <w:rFonts w:cs="Calibri"/>
          <w:sz w:val="24"/>
          <w:szCs w:val="24"/>
          <w:lang w:eastAsia="it-IT"/>
        </w:rPr>
        <w:t xml:space="preserve"> polvere e solvente per soluzione per infusione,</w:t>
      </w:r>
      <w:r w:rsidR="004B0C08" w:rsidRPr="00C314D7">
        <w:rPr>
          <w:rFonts w:cs="Calibri"/>
          <w:sz w:val="24"/>
          <w:szCs w:val="24"/>
          <w:lang w:eastAsia="it-IT"/>
        </w:rPr>
        <w:t xml:space="preserve"> già autorizzato, </w:t>
      </w:r>
      <w:r w:rsidR="00D02630" w:rsidRPr="00C314D7">
        <w:rPr>
          <w:rFonts w:cs="Calibri"/>
          <w:sz w:val="24"/>
          <w:szCs w:val="24"/>
          <w:lang w:eastAsia="it-IT"/>
        </w:rPr>
        <w:t xml:space="preserve">è emerso che </w:t>
      </w:r>
      <w:r w:rsidRPr="00C314D7">
        <w:rPr>
          <w:rFonts w:cs="Calibri"/>
          <w:sz w:val="24"/>
          <w:szCs w:val="24"/>
          <w:lang w:eastAsia="it-IT"/>
        </w:rPr>
        <w:t>i</w:t>
      </w:r>
      <w:r w:rsidRPr="00E07512">
        <w:rPr>
          <w:rFonts w:cs="Calibri"/>
          <w:sz w:val="24"/>
          <w:szCs w:val="24"/>
          <w:lang w:eastAsia="it-IT"/>
        </w:rPr>
        <w:t xml:space="preserve"> benefici di </w:t>
      </w:r>
      <w:r w:rsidR="000C16A4">
        <w:rPr>
          <w:rFonts w:cs="Calibri"/>
          <w:color w:val="000000"/>
          <w:sz w:val="24"/>
          <w:szCs w:val="24"/>
          <w:lang w:eastAsia="it-IT"/>
        </w:rPr>
        <w:t>FEIBA</w:t>
      </w:r>
      <w:r w:rsidR="00E106F2">
        <w:rPr>
          <w:rFonts w:cs="Calibri"/>
          <w:color w:val="000000"/>
          <w:sz w:val="24"/>
          <w:szCs w:val="24"/>
          <w:lang w:eastAsia="it-IT"/>
        </w:rPr>
        <w:t>,</w:t>
      </w:r>
      <w:r w:rsidR="004B0C08">
        <w:rPr>
          <w:rFonts w:cs="Calibri"/>
          <w:color w:val="000000"/>
          <w:sz w:val="24"/>
          <w:szCs w:val="24"/>
          <w:lang w:eastAsia="it-IT"/>
        </w:rPr>
        <w:t xml:space="preserve"> 100 UF/mL</w:t>
      </w:r>
      <w:r w:rsidR="00E106F2">
        <w:rPr>
          <w:rFonts w:cs="Calibri"/>
          <w:color w:val="000000"/>
          <w:sz w:val="24"/>
          <w:szCs w:val="24"/>
          <w:lang w:eastAsia="it-IT"/>
        </w:rPr>
        <w:t xml:space="preserve">, polvere e solvente per soluzione per infusione, </w:t>
      </w:r>
      <w:r w:rsidRPr="00E07512">
        <w:rPr>
          <w:rFonts w:cs="Calibri"/>
          <w:sz w:val="24"/>
          <w:szCs w:val="24"/>
          <w:lang w:eastAsia="it-IT"/>
        </w:rPr>
        <w:t xml:space="preserve">sono superiori ai rischi individuati. </w:t>
      </w:r>
    </w:p>
    <w:p w14:paraId="746EC763" w14:textId="77777777" w:rsidR="00501520" w:rsidRPr="00844083" w:rsidRDefault="006B03C7" w:rsidP="00501520">
      <w:pPr>
        <w:autoSpaceDE w:val="0"/>
        <w:autoSpaceDN w:val="0"/>
        <w:adjustRightInd w:val="0"/>
        <w:spacing w:after="0" w:line="240" w:lineRule="auto"/>
        <w:jc w:val="both"/>
        <w:rPr>
          <w:rFonts w:cs="Calibri"/>
          <w:sz w:val="24"/>
          <w:szCs w:val="24"/>
          <w:lang w:eastAsia="it-IT"/>
        </w:rPr>
      </w:pPr>
      <w:r w:rsidRPr="00844083">
        <w:rPr>
          <w:rFonts w:cs="Calibri"/>
          <w:sz w:val="24"/>
          <w:szCs w:val="24"/>
          <w:lang w:eastAsia="it-IT"/>
        </w:rPr>
        <w:t xml:space="preserve">La </w:t>
      </w:r>
      <w:r w:rsidR="00664B8F" w:rsidRPr="00664B8F">
        <w:rPr>
          <w:rFonts w:cs="Calibri"/>
          <w:sz w:val="24"/>
          <w:szCs w:val="24"/>
          <w:lang w:eastAsia="it-IT"/>
        </w:rPr>
        <w:t xml:space="preserve">Commissione Scientifica </w:t>
      </w:r>
      <w:r w:rsidR="00664B8F">
        <w:rPr>
          <w:rFonts w:cs="Calibri"/>
          <w:sz w:val="24"/>
          <w:szCs w:val="24"/>
          <w:lang w:eastAsia="it-IT"/>
        </w:rPr>
        <w:t>ed</w:t>
      </w:r>
      <w:r w:rsidR="00664B8F" w:rsidRPr="00664B8F">
        <w:rPr>
          <w:rFonts w:cs="Calibri"/>
          <w:sz w:val="24"/>
          <w:szCs w:val="24"/>
          <w:lang w:eastAsia="it-IT"/>
        </w:rPr>
        <w:t xml:space="preserve"> Economica </w:t>
      </w:r>
      <w:r w:rsidR="00664B8F">
        <w:rPr>
          <w:rFonts w:cs="Calibri"/>
          <w:sz w:val="24"/>
          <w:szCs w:val="24"/>
          <w:lang w:eastAsia="it-IT"/>
        </w:rPr>
        <w:t>del</w:t>
      </w:r>
      <w:r w:rsidR="00664B8F" w:rsidRPr="00664B8F">
        <w:rPr>
          <w:rFonts w:cs="Calibri"/>
          <w:sz w:val="24"/>
          <w:szCs w:val="24"/>
          <w:lang w:eastAsia="it-IT"/>
        </w:rPr>
        <w:t xml:space="preserve"> F</w:t>
      </w:r>
      <w:r w:rsidR="00664B8F">
        <w:rPr>
          <w:rFonts w:cs="Calibri"/>
          <w:sz w:val="24"/>
          <w:szCs w:val="24"/>
          <w:lang w:eastAsia="it-IT"/>
        </w:rPr>
        <w:t xml:space="preserve">armaco </w:t>
      </w:r>
      <w:r w:rsidR="00844083" w:rsidRPr="00844083">
        <w:rPr>
          <w:rFonts w:cs="Calibri"/>
          <w:sz w:val="24"/>
          <w:szCs w:val="24"/>
          <w:lang w:eastAsia="it-IT"/>
        </w:rPr>
        <w:t>(CSE) ha</w:t>
      </w:r>
      <w:r w:rsidR="006B117F">
        <w:rPr>
          <w:rFonts w:cs="Calibri"/>
          <w:sz w:val="24"/>
          <w:szCs w:val="24"/>
          <w:lang w:eastAsia="it-IT"/>
        </w:rPr>
        <w:t xml:space="preserve"> </w:t>
      </w:r>
      <w:r w:rsidR="00844083" w:rsidRPr="00844083">
        <w:rPr>
          <w:rFonts w:cs="Calibri"/>
          <w:sz w:val="24"/>
          <w:szCs w:val="24"/>
          <w:lang w:eastAsia="it-IT"/>
        </w:rPr>
        <w:t xml:space="preserve">inoltre </w:t>
      </w:r>
      <w:r w:rsidRPr="00844083">
        <w:rPr>
          <w:rFonts w:cs="Calibri"/>
          <w:sz w:val="24"/>
          <w:szCs w:val="24"/>
          <w:lang w:eastAsia="it-IT"/>
        </w:rPr>
        <w:t xml:space="preserve">definito le modalità di prescrizione di cui al punto 2) di questo Riassunto e la classe di rimborsabilità </w:t>
      </w:r>
      <w:r w:rsidR="00651119">
        <w:rPr>
          <w:rFonts w:cs="Calibri"/>
          <w:sz w:val="24"/>
          <w:szCs w:val="24"/>
          <w:lang w:eastAsia="it-IT"/>
        </w:rPr>
        <w:t xml:space="preserve">provvisoria </w:t>
      </w:r>
      <w:r w:rsidRPr="00844083">
        <w:rPr>
          <w:rFonts w:cs="Calibri"/>
          <w:sz w:val="24"/>
          <w:szCs w:val="24"/>
          <w:lang w:eastAsia="it-IT"/>
        </w:rPr>
        <w:t xml:space="preserve">del medicinale </w:t>
      </w:r>
      <w:r w:rsidR="00501520" w:rsidRPr="00501520">
        <w:rPr>
          <w:rFonts w:cs="Calibri"/>
          <w:sz w:val="24"/>
          <w:szCs w:val="24"/>
          <w:lang w:eastAsia="it-IT"/>
        </w:rPr>
        <w:t>in C(nn).</w:t>
      </w:r>
    </w:p>
    <w:p w14:paraId="58E41255" w14:textId="77777777" w:rsidR="00BB2AF8" w:rsidRPr="000164BE" w:rsidRDefault="00BB2AF8" w:rsidP="004241AC">
      <w:pPr>
        <w:autoSpaceDE w:val="0"/>
        <w:autoSpaceDN w:val="0"/>
        <w:adjustRightInd w:val="0"/>
        <w:spacing w:after="0" w:line="240" w:lineRule="auto"/>
        <w:jc w:val="both"/>
        <w:rPr>
          <w:rFonts w:eastAsia="Calibri" w:cs="Calibri"/>
          <w:b/>
          <w:bCs/>
          <w:lang w:eastAsia="it-IT"/>
        </w:rPr>
      </w:pPr>
    </w:p>
    <w:p w14:paraId="40A019FA" w14:textId="77777777" w:rsidR="0047212A" w:rsidRPr="00A34061" w:rsidRDefault="004241AC" w:rsidP="004241AC">
      <w:pPr>
        <w:autoSpaceDE w:val="0"/>
        <w:autoSpaceDN w:val="0"/>
        <w:adjustRightInd w:val="0"/>
        <w:spacing w:after="0" w:line="240" w:lineRule="auto"/>
        <w:jc w:val="both"/>
        <w:rPr>
          <w:rFonts w:eastAsia="Calibri" w:cs="Calibri"/>
          <w:b/>
          <w:bCs/>
          <w:color w:val="000000"/>
          <w:sz w:val="24"/>
          <w:szCs w:val="24"/>
          <w:lang w:eastAsia="it-IT"/>
        </w:rPr>
      </w:pPr>
      <w:r w:rsidRPr="00D579E6">
        <w:rPr>
          <w:rFonts w:eastAsia="Calibri" w:cs="Calibri"/>
          <w:b/>
          <w:bCs/>
          <w:sz w:val="24"/>
          <w:szCs w:val="24"/>
          <w:lang w:eastAsia="it-IT"/>
        </w:rPr>
        <w:t xml:space="preserve">7) QUALI MISURE SONO STATE PRESE PER ASSICURARE LA SICUREZZA E L’EFFICACIA NELL’USO DI </w:t>
      </w:r>
      <w:r w:rsidR="00D579E6" w:rsidRPr="00D579E6">
        <w:rPr>
          <w:rFonts w:eastAsia="Calibri" w:cs="Calibri"/>
          <w:b/>
          <w:color w:val="000000"/>
          <w:sz w:val="24"/>
          <w:szCs w:val="24"/>
          <w:lang w:eastAsia="it-IT"/>
        </w:rPr>
        <w:t>FEIBA</w:t>
      </w:r>
      <w:r w:rsidRPr="00D579E6">
        <w:rPr>
          <w:rFonts w:eastAsia="Calibri" w:cs="Calibri"/>
          <w:b/>
          <w:bCs/>
          <w:color w:val="000000"/>
          <w:sz w:val="24"/>
          <w:szCs w:val="24"/>
          <w:lang w:eastAsia="it-IT"/>
        </w:rPr>
        <w:t>?</w:t>
      </w:r>
    </w:p>
    <w:p w14:paraId="59115027" w14:textId="77777777" w:rsidR="004241AC" w:rsidRPr="000164BE" w:rsidRDefault="00E15C94" w:rsidP="004241AC">
      <w:pPr>
        <w:autoSpaceDE w:val="0"/>
        <w:autoSpaceDN w:val="0"/>
        <w:adjustRightInd w:val="0"/>
        <w:spacing w:after="0" w:line="240" w:lineRule="auto"/>
        <w:jc w:val="both"/>
        <w:rPr>
          <w:rFonts w:eastAsia="Calibri" w:cs="Calibri"/>
          <w:lang w:eastAsia="it-IT"/>
        </w:rPr>
      </w:pPr>
      <w:r>
        <w:rPr>
          <w:rFonts w:eastAsia="Calibri" w:cs="Calibri"/>
          <w:color w:val="000000"/>
          <w:sz w:val="24"/>
          <w:szCs w:val="24"/>
          <w:lang w:eastAsia="it-IT"/>
        </w:rPr>
        <w:t xml:space="preserve">Il Titolare </w:t>
      </w:r>
      <w:r w:rsidR="004241AC" w:rsidRPr="00D579E6">
        <w:rPr>
          <w:rFonts w:eastAsia="Calibri" w:cs="Calibri"/>
          <w:sz w:val="24"/>
          <w:szCs w:val="24"/>
          <w:lang w:eastAsia="it-IT"/>
        </w:rPr>
        <w:t xml:space="preserve">dell’autorizzazione all’immissione in commercio (AIC) ha presentato un Piano di Gestione del Rischio, in accordo con quanto richiesto dalla Direttiva 2001/83/CE e successivi emendamenti, descrivendo le attività di Farmacovigilanza e gli interventi finalizzati ad identificare, caratterizzare, prevenire o </w:t>
      </w:r>
      <w:r w:rsidR="00D579E6" w:rsidRPr="00D579E6">
        <w:rPr>
          <w:rFonts w:eastAsia="Calibri" w:cs="Calibri"/>
          <w:sz w:val="24"/>
          <w:szCs w:val="24"/>
          <w:lang w:eastAsia="it-IT"/>
        </w:rPr>
        <w:t xml:space="preserve">minimizzare i rischi correlati all’utilizzo di </w:t>
      </w:r>
      <w:r w:rsidR="007F4612" w:rsidRPr="00D579E6">
        <w:rPr>
          <w:rFonts w:eastAsia="Calibri" w:cs="Calibri"/>
          <w:sz w:val="24"/>
          <w:szCs w:val="24"/>
          <w:lang w:eastAsia="it-IT"/>
        </w:rPr>
        <w:t>FEIBA</w:t>
      </w:r>
      <w:r w:rsidR="0039449F">
        <w:rPr>
          <w:rFonts w:eastAsia="Calibri" w:cs="Calibri"/>
          <w:sz w:val="24"/>
          <w:szCs w:val="24"/>
          <w:lang w:eastAsia="it-IT"/>
        </w:rPr>
        <w:t>,</w:t>
      </w:r>
      <w:r w:rsidR="00D579E6" w:rsidRPr="00D579E6">
        <w:rPr>
          <w:rFonts w:eastAsia="Calibri" w:cs="Calibri"/>
          <w:sz w:val="24"/>
          <w:szCs w:val="24"/>
          <w:lang w:eastAsia="it-IT"/>
        </w:rPr>
        <w:t xml:space="preserve"> 100 UF/mL</w:t>
      </w:r>
      <w:r w:rsidR="006A318C">
        <w:rPr>
          <w:rFonts w:eastAsia="Calibri" w:cs="Calibri"/>
          <w:sz w:val="24"/>
          <w:szCs w:val="24"/>
          <w:lang w:eastAsia="it-IT"/>
        </w:rPr>
        <w:t>, polvere e solvente per infusione</w:t>
      </w:r>
      <w:r w:rsidR="004241AC" w:rsidRPr="000164BE">
        <w:rPr>
          <w:rFonts w:eastAsia="Calibri" w:cs="Calibri"/>
          <w:lang w:eastAsia="it-IT"/>
        </w:rPr>
        <w:t>.</w:t>
      </w:r>
    </w:p>
    <w:p w14:paraId="083CDB30" w14:textId="77777777" w:rsidR="004241AC" w:rsidRPr="000164BE" w:rsidRDefault="004241AC" w:rsidP="004241AC">
      <w:pPr>
        <w:autoSpaceDE w:val="0"/>
        <w:autoSpaceDN w:val="0"/>
        <w:adjustRightInd w:val="0"/>
        <w:spacing w:after="0" w:line="240" w:lineRule="auto"/>
        <w:jc w:val="both"/>
        <w:rPr>
          <w:rFonts w:eastAsia="Calibri" w:cs="Calibri"/>
          <w:lang w:eastAsia="it-IT"/>
        </w:rPr>
      </w:pPr>
    </w:p>
    <w:p w14:paraId="21B16CF2" w14:textId="77777777" w:rsidR="004241AC" w:rsidRPr="003F7399" w:rsidRDefault="004241AC" w:rsidP="004241AC">
      <w:pPr>
        <w:autoSpaceDE w:val="0"/>
        <w:autoSpaceDN w:val="0"/>
        <w:adjustRightInd w:val="0"/>
        <w:spacing w:after="0" w:line="240" w:lineRule="auto"/>
        <w:jc w:val="both"/>
        <w:rPr>
          <w:rFonts w:eastAsia="Calibri" w:cs="Calibri"/>
          <w:sz w:val="24"/>
          <w:szCs w:val="24"/>
          <w:lang w:eastAsia="it-IT"/>
        </w:rPr>
      </w:pPr>
      <w:r w:rsidRPr="003F7399">
        <w:rPr>
          <w:rFonts w:eastAsia="Calibri" w:cs="Calibri"/>
          <w:b/>
          <w:bCs/>
          <w:sz w:val="24"/>
          <w:szCs w:val="24"/>
          <w:lang w:eastAsia="it-IT"/>
        </w:rPr>
        <w:t xml:space="preserve">8) ALTRE INFORMAZIONI RELATIVE A </w:t>
      </w:r>
      <w:r w:rsidR="008519BB">
        <w:rPr>
          <w:rFonts w:eastAsia="Calibri" w:cs="Calibri"/>
          <w:b/>
          <w:color w:val="000000"/>
          <w:sz w:val="24"/>
          <w:szCs w:val="24"/>
          <w:lang w:eastAsia="it-IT"/>
        </w:rPr>
        <w:t>FEIBA</w:t>
      </w:r>
    </w:p>
    <w:p w14:paraId="2EAD55B5" w14:textId="77777777" w:rsidR="004E5A39" w:rsidRPr="003F7399" w:rsidRDefault="00A34061" w:rsidP="004241AC">
      <w:pPr>
        <w:autoSpaceDE w:val="0"/>
        <w:autoSpaceDN w:val="0"/>
        <w:adjustRightInd w:val="0"/>
        <w:spacing w:after="0" w:line="240" w:lineRule="auto"/>
        <w:jc w:val="both"/>
        <w:rPr>
          <w:rFonts w:eastAsia="Calibri" w:cs="Calibri"/>
          <w:sz w:val="24"/>
          <w:szCs w:val="24"/>
          <w:lang w:eastAsia="it-IT"/>
        </w:rPr>
      </w:pPr>
      <w:r w:rsidRPr="00A34061">
        <w:rPr>
          <w:rFonts w:eastAsia="Calibri" w:cs="Calibri"/>
          <w:bCs/>
          <w:sz w:val="24"/>
          <w:szCs w:val="24"/>
          <w:lang w:eastAsia="it-IT"/>
        </w:rPr>
        <w:t xml:space="preserve">Il </w:t>
      </w:r>
      <w:r w:rsidRPr="0071566B">
        <w:rPr>
          <w:rFonts w:eastAsia="Calibri" w:cs="Calibri"/>
          <w:b/>
          <w:bCs/>
          <w:sz w:val="24"/>
          <w:szCs w:val="24"/>
          <w:lang w:eastAsia="it-IT"/>
        </w:rPr>
        <w:t>18/03/2026</w:t>
      </w:r>
      <w:r>
        <w:rPr>
          <w:rFonts w:eastAsia="Calibri" w:cs="Calibri"/>
          <w:bCs/>
          <w:sz w:val="24"/>
          <w:szCs w:val="24"/>
          <w:lang w:eastAsia="it-IT"/>
        </w:rPr>
        <w:t xml:space="preserve"> </w:t>
      </w:r>
      <w:r w:rsidRPr="00A34061">
        <w:rPr>
          <w:rFonts w:eastAsia="Calibri" w:cs="Calibri"/>
          <w:bCs/>
          <w:sz w:val="24"/>
          <w:szCs w:val="24"/>
          <w:lang w:eastAsia="it-IT"/>
        </w:rPr>
        <w:t xml:space="preserve">l’AIFA ha rilasciato l’autorizzazione all’immissione in commercio di </w:t>
      </w:r>
      <w:r w:rsidR="007F4612">
        <w:rPr>
          <w:rFonts w:eastAsia="Calibri" w:cs="Calibri"/>
          <w:bCs/>
          <w:sz w:val="24"/>
          <w:szCs w:val="24"/>
          <w:lang w:eastAsia="it-IT"/>
        </w:rPr>
        <w:t>FEIBA</w:t>
      </w:r>
      <w:r>
        <w:rPr>
          <w:rFonts w:eastAsia="Calibri" w:cs="Calibri"/>
          <w:bCs/>
          <w:sz w:val="24"/>
          <w:szCs w:val="24"/>
          <w:lang w:eastAsia="it-IT"/>
        </w:rPr>
        <w:t xml:space="preserve">, 100 UF/mL, polvere e solvente soluzione per infusione. </w:t>
      </w:r>
    </w:p>
    <w:p w14:paraId="4ABDD9C5" w14:textId="77777777" w:rsidR="00A34061" w:rsidRDefault="004E5A39" w:rsidP="00E01DA8">
      <w:pPr>
        <w:tabs>
          <w:tab w:val="left" w:pos="720"/>
        </w:tabs>
        <w:spacing w:after="0" w:line="240" w:lineRule="auto"/>
        <w:jc w:val="both"/>
        <w:rPr>
          <w:rFonts w:eastAsia="Calibri" w:cs="Calibri"/>
          <w:sz w:val="24"/>
          <w:szCs w:val="24"/>
          <w:lang w:eastAsia="it-IT"/>
        </w:rPr>
      </w:pPr>
      <w:r w:rsidRPr="00167B56">
        <w:rPr>
          <w:rFonts w:eastAsia="Calibri" w:cs="Calibri"/>
          <w:sz w:val="24"/>
          <w:szCs w:val="24"/>
          <w:lang w:eastAsia="it-IT"/>
        </w:rPr>
        <w:t>La Relazione Pubblica di Valutazione completa segue questo Riassunto</w:t>
      </w:r>
      <w:r w:rsidR="00A34061">
        <w:rPr>
          <w:rFonts w:eastAsia="Calibri" w:cs="Calibri"/>
          <w:sz w:val="24"/>
          <w:szCs w:val="24"/>
          <w:lang w:eastAsia="it-IT"/>
        </w:rPr>
        <w:t>.</w:t>
      </w:r>
    </w:p>
    <w:p w14:paraId="70582C50" w14:textId="77777777" w:rsidR="004241AC" w:rsidRPr="00167B56" w:rsidRDefault="004241AC" w:rsidP="004241AC">
      <w:pPr>
        <w:autoSpaceDE w:val="0"/>
        <w:autoSpaceDN w:val="0"/>
        <w:adjustRightInd w:val="0"/>
        <w:spacing w:after="0" w:line="240" w:lineRule="auto"/>
        <w:jc w:val="both"/>
        <w:rPr>
          <w:rFonts w:eastAsia="Calibri" w:cs="Calibri"/>
          <w:sz w:val="24"/>
          <w:szCs w:val="24"/>
          <w:lang w:eastAsia="it-IT"/>
        </w:rPr>
      </w:pPr>
      <w:r w:rsidRPr="00167B56">
        <w:rPr>
          <w:rFonts w:eastAsia="Calibri" w:cs="Calibri"/>
          <w:sz w:val="24"/>
          <w:szCs w:val="24"/>
          <w:lang w:eastAsia="it-IT"/>
        </w:rPr>
        <w:t xml:space="preserve">Per maggiori informazioni riguardo il trattamento </w:t>
      </w:r>
      <w:r w:rsidR="008519BB">
        <w:rPr>
          <w:rFonts w:eastAsia="Calibri" w:cs="Calibri"/>
          <w:sz w:val="24"/>
          <w:szCs w:val="24"/>
          <w:lang w:eastAsia="it-IT"/>
        </w:rPr>
        <w:t xml:space="preserve">con </w:t>
      </w:r>
      <w:r w:rsidR="007F4612">
        <w:rPr>
          <w:rFonts w:eastAsia="Calibri" w:cs="Calibri"/>
          <w:sz w:val="24"/>
          <w:szCs w:val="24"/>
          <w:lang w:eastAsia="it-IT"/>
        </w:rPr>
        <w:t>FEIBA</w:t>
      </w:r>
      <w:r w:rsidR="00CA72AB">
        <w:rPr>
          <w:rFonts w:eastAsia="Calibri" w:cs="Calibri"/>
          <w:sz w:val="24"/>
          <w:szCs w:val="24"/>
          <w:lang w:eastAsia="it-IT"/>
        </w:rPr>
        <w:t xml:space="preserve">, 100 UF/mL, </w:t>
      </w:r>
      <w:r w:rsidR="00D73834">
        <w:rPr>
          <w:rFonts w:eastAsia="Calibri" w:cs="Calibri"/>
          <w:sz w:val="24"/>
          <w:szCs w:val="24"/>
          <w:lang w:eastAsia="it-IT"/>
        </w:rPr>
        <w:t>polvere e solvente per soluzio</w:t>
      </w:r>
      <w:r w:rsidR="00A34061">
        <w:rPr>
          <w:rFonts w:eastAsia="Calibri" w:cs="Calibri"/>
          <w:sz w:val="24"/>
          <w:szCs w:val="24"/>
          <w:lang w:eastAsia="it-IT"/>
        </w:rPr>
        <w:t xml:space="preserve">ne per infusione, </w:t>
      </w:r>
      <w:r w:rsidRPr="00167B56">
        <w:rPr>
          <w:rFonts w:eastAsia="Calibri" w:cs="Calibri"/>
          <w:sz w:val="24"/>
          <w:szCs w:val="24"/>
          <w:lang w:eastAsia="it-IT"/>
        </w:rPr>
        <w:t>si può leggere il foglio illustrativo</w:t>
      </w:r>
      <w:r w:rsidR="00D20170" w:rsidRPr="00167B56">
        <w:rPr>
          <w:rFonts w:eastAsia="Calibri" w:cs="Calibri"/>
          <w:sz w:val="24"/>
          <w:szCs w:val="24"/>
          <w:lang w:eastAsia="it-IT"/>
        </w:rPr>
        <w:t xml:space="preserve"> </w:t>
      </w:r>
      <w:r w:rsidR="006A318C" w:rsidRPr="006A318C">
        <w:rPr>
          <w:rFonts w:eastAsia="Calibri" w:cs="Calibri"/>
          <w:sz w:val="24"/>
          <w:szCs w:val="24"/>
          <w:lang w:eastAsia="it-IT"/>
        </w:rPr>
        <w:t xml:space="preserve">(https://medicinali.aifa.gov.it) </w:t>
      </w:r>
      <w:r w:rsidRPr="00167B56">
        <w:rPr>
          <w:rFonts w:eastAsia="Calibri" w:cs="Calibri"/>
          <w:sz w:val="24"/>
          <w:szCs w:val="24"/>
          <w:lang w:eastAsia="it-IT"/>
        </w:rPr>
        <w:t xml:space="preserve">o contattare il medico o </w:t>
      </w:r>
      <w:r w:rsidR="009B03DB" w:rsidRPr="00167B56">
        <w:rPr>
          <w:rFonts w:eastAsia="Calibri" w:cs="Calibri"/>
          <w:sz w:val="24"/>
          <w:szCs w:val="24"/>
          <w:lang w:eastAsia="it-IT"/>
        </w:rPr>
        <w:t xml:space="preserve">il </w:t>
      </w:r>
      <w:r w:rsidRPr="00167B56">
        <w:rPr>
          <w:rFonts w:eastAsia="Calibri" w:cs="Calibri"/>
          <w:sz w:val="24"/>
          <w:szCs w:val="24"/>
          <w:lang w:eastAsia="it-IT"/>
        </w:rPr>
        <w:t xml:space="preserve">farmacista. </w:t>
      </w:r>
    </w:p>
    <w:p w14:paraId="01A8D96D" w14:textId="77777777" w:rsidR="004241AC" w:rsidRPr="00167B56" w:rsidRDefault="004241AC" w:rsidP="004241AC">
      <w:pPr>
        <w:spacing w:after="0" w:line="240" w:lineRule="auto"/>
        <w:jc w:val="both"/>
        <w:rPr>
          <w:rFonts w:eastAsia="Calibri" w:cs="Calibri"/>
          <w:sz w:val="24"/>
          <w:szCs w:val="24"/>
          <w:lang w:eastAsia="it-IT"/>
        </w:rPr>
      </w:pPr>
    </w:p>
    <w:p w14:paraId="45A9CE7D" w14:textId="77777777" w:rsidR="004241AC" w:rsidRPr="00167B56" w:rsidRDefault="004241AC" w:rsidP="004241AC">
      <w:pPr>
        <w:spacing w:after="0" w:line="240" w:lineRule="auto"/>
        <w:jc w:val="both"/>
        <w:rPr>
          <w:rFonts w:eastAsia="Calibri" w:cs="Calibri"/>
          <w:sz w:val="24"/>
          <w:szCs w:val="24"/>
          <w:lang w:eastAsia="it-IT"/>
        </w:rPr>
      </w:pPr>
    </w:p>
    <w:p w14:paraId="1E636B7A" w14:textId="4D3F0AEC" w:rsidR="004E5A39" w:rsidRPr="00695FA9" w:rsidRDefault="004241AC" w:rsidP="006A318C">
      <w:pPr>
        <w:spacing w:after="0" w:line="240" w:lineRule="auto"/>
        <w:jc w:val="both"/>
        <w:rPr>
          <w:rFonts w:eastAsia="Calibri" w:cs="Calibri"/>
          <w:sz w:val="24"/>
          <w:szCs w:val="24"/>
          <w:lang w:eastAsia="it-IT"/>
        </w:rPr>
      </w:pPr>
      <w:r w:rsidRPr="00167B56">
        <w:rPr>
          <w:rFonts w:eastAsia="Calibri" w:cs="Calibri"/>
          <w:sz w:val="24"/>
          <w:szCs w:val="24"/>
          <w:lang w:eastAsia="it-IT"/>
        </w:rPr>
        <w:t xml:space="preserve">Questo riassunto è stato redatto in </w:t>
      </w:r>
      <w:r w:rsidR="00B1186F" w:rsidRPr="00167B56">
        <w:rPr>
          <w:rFonts w:eastAsia="Calibri" w:cs="Calibri"/>
          <w:sz w:val="24"/>
          <w:szCs w:val="24"/>
          <w:lang w:eastAsia="it-IT"/>
        </w:rPr>
        <w:t xml:space="preserve">data </w:t>
      </w:r>
      <w:r w:rsidR="00A419B5" w:rsidRPr="0015644A">
        <w:rPr>
          <w:rFonts w:eastAsia="Calibri" w:cs="Calibri"/>
          <w:sz w:val="24"/>
          <w:szCs w:val="24"/>
          <w:lang w:eastAsia="it-IT"/>
        </w:rPr>
        <w:t>15/</w:t>
      </w:r>
      <w:r w:rsidR="00A419B5">
        <w:rPr>
          <w:rFonts w:eastAsia="Calibri" w:cs="Calibri"/>
          <w:sz w:val="24"/>
          <w:szCs w:val="24"/>
          <w:lang w:eastAsia="it-IT"/>
        </w:rPr>
        <w:t>06/</w:t>
      </w:r>
      <w:r w:rsidR="00695FA9" w:rsidRPr="00695FA9">
        <w:rPr>
          <w:rFonts w:eastAsia="Calibri" w:cs="Calibri"/>
          <w:sz w:val="24"/>
          <w:szCs w:val="24"/>
          <w:lang w:eastAsia="it-IT"/>
        </w:rPr>
        <w:t>2026</w:t>
      </w:r>
    </w:p>
    <w:p w14:paraId="671EF2FF" w14:textId="77777777" w:rsidR="007170D7" w:rsidRPr="000164BE" w:rsidRDefault="007170D7" w:rsidP="004E5A39">
      <w:pPr>
        <w:spacing w:after="0" w:line="240" w:lineRule="auto"/>
        <w:jc w:val="center"/>
        <w:rPr>
          <w:b/>
        </w:rPr>
      </w:pPr>
    </w:p>
    <w:p w14:paraId="295D0C03" w14:textId="77777777" w:rsidR="007170D7" w:rsidRPr="000164BE" w:rsidRDefault="007170D7" w:rsidP="004E5A39">
      <w:pPr>
        <w:spacing w:after="0" w:line="240" w:lineRule="auto"/>
        <w:jc w:val="center"/>
        <w:rPr>
          <w:b/>
        </w:rPr>
      </w:pPr>
      <w:bookmarkStart w:id="1" w:name="_GoBack"/>
      <w:bookmarkEnd w:id="1"/>
    </w:p>
    <w:p w14:paraId="71A28DBA" w14:textId="77777777" w:rsidR="007170D7" w:rsidRDefault="007170D7" w:rsidP="004E5A39">
      <w:pPr>
        <w:spacing w:after="0" w:line="240" w:lineRule="auto"/>
        <w:jc w:val="center"/>
        <w:rPr>
          <w:b/>
          <w:sz w:val="28"/>
        </w:rPr>
      </w:pPr>
    </w:p>
    <w:p w14:paraId="04241315" w14:textId="77777777" w:rsidR="007170D7" w:rsidRDefault="007170D7" w:rsidP="00A76244">
      <w:pPr>
        <w:rPr>
          <w:b/>
          <w:sz w:val="28"/>
        </w:rPr>
      </w:pPr>
    </w:p>
    <w:p w14:paraId="76FCBF81" w14:textId="77777777" w:rsidR="007170D7" w:rsidRDefault="007170D7" w:rsidP="004E5A39">
      <w:pPr>
        <w:spacing w:after="0" w:line="240" w:lineRule="auto"/>
        <w:jc w:val="center"/>
        <w:rPr>
          <w:b/>
          <w:sz w:val="28"/>
        </w:rPr>
      </w:pPr>
    </w:p>
    <w:p w14:paraId="594B9E84" w14:textId="77777777" w:rsidR="007170D7" w:rsidRDefault="007170D7" w:rsidP="004E5A39">
      <w:pPr>
        <w:spacing w:after="0" w:line="240" w:lineRule="auto"/>
        <w:jc w:val="center"/>
        <w:rPr>
          <w:b/>
          <w:sz w:val="28"/>
        </w:rPr>
      </w:pPr>
    </w:p>
    <w:p w14:paraId="450D0219" w14:textId="77777777" w:rsidR="00A76244" w:rsidRDefault="00A76244" w:rsidP="004E5A39">
      <w:pPr>
        <w:spacing w:after="0" w:line="240" w:lineRule="auto"/>
        <w:jc w:val="center"/>
        <w:rPr>
          <w:b/>
          <w:sz w:val="28"/>
        </w:rPr>
      </w:pPr>
    </w:p>
    <w:p w14:paraId="1F165240" w14:textId="77777777" w:rsidR="00A76244" w:rsidRDefault="00A76244" w:rsidP="004E5A39">
      <w:pPr>
        <w:spacing w:after="0" w:line="240" w:lineRule="auto"/>
        <w:jc w:val="center"/>
        <w:rPr>
          <w:b/>
          <w:sz w:val="28"/>
        </w:rPr>
      </w:pPr>
    </w:p>
    <w:p w14:paraId="365E1A92" w14:textId="77777777" w:rsidR="004E5A39" w:rsidRDefault="004E5A39" w:rsidP="004E5A39">
      <w:pPr>
        <w:spacing w:after="0" w:line="240" w:lineRule="auto"/>
        <w:jc w:val="center"/>
        <w:rPr>
          <w:b/>
          <w:sz w:val="28"/>
        </w:rPr>
      </w:pPr>
      <w:r>
        <w:rPr>
          <w:b/>
          <w:sz w:val="28"/>
        </w:rPr>
        <w:t>RELAZIONE PUBBLICA DI VALUTAZIONE</w:t>
      </w:r>
    </w:p>
    <w:p w14:paraId="532E2B27" w14:textId="77777777" w:rsidR="004E5A39" w:rsidRDefault="004E5A39" w:rsidP="004E5A39">
      <w:pPr>
        <w:spacing w:after="0" w:line="240" w:lineRule="auto"/>
        <w:jc w:val="center"/>
        <w:rPr>
          <w:b/>
        </w:rPr>
      </w:pPr>
    </w:p>
    <w:p w14:paraId="2D3A6863" w14:textId="77777777" w:rsidR="004E5A39" w:rsidRDefault="004E5A39" w:rsidP="004E5A39">
      <w:pPr>
        <w:spacing w:after="0" w:line="240" w:lineRule="auto"/>
        <w:jc w:val="center"/>
        <w:rPr>
          <w:b/>
        </w:rPr>
      </w:pPr>
    </w:p>
    <w:p w14:paraId="34C3630D" w14:textId="77777777" w:rsidR="004E5A39" w:rsidRDefault="004E5A39" w:rsidP="004E5A39">
      <w:pPr>
        <w:spacing w:after="0" w:line="240" w:lineRule="auto"/>
        <w:jc w:val="center"/>
        <w:rPr>
          <w:b/>
        </w:rPr>
      </w:pPr>
    </w:p>
    <w:p w14:paraId="46BBAF55" w14:textId="77777777" w:rsidR="004E5A39" w:rsidRDefault="004E5A39" w:rsidP="004E5A39">
      <w:pPr>
        <w:spacing w:after="0" w:line="240" w:lineRule="auto"/>
        <w:jc w:val="center"/>
        <w:rPr>
          <w:b/>
        </w:rPr>
      </w:pPr>
    </w:p>
    <w:p w14:paraId="29421FE7" w14:textId="77777777" w:rsidR="004E5A39" w:rsidRPr="00FB6F3A" w:rsidRDefault="004E5A39" w:rsidP="004E5A39">
      <w:pPr>
        <w:spacing w:after="0" w:line="240" w:lineRule="auto"/>
        <w:jc w:val="center"/>
        <w:rPr>
          <w:b/>
          <w:sz w:val="24"/>
          <w:szCs w:val="24"/>
        </w:rPr>
      </w:pPr>
      <w:r w:rsidRPr="00FB6F3A">
        <w:rPr>
          <w:b/>
          <w:sz w:val="24"/>
          <w:szCs w:val="24"/>
        </w:rPr>
        <w:t>INDICE</w:t>
      </w:r>
    </w:p>
    <w:p w14:paraId="68CEBA75" w14:textId="77777777" w:rsidR="004E5A39" w:rsidRPr="00FB6F3A" w:rsidRDefault="004E5A39" w:rsidP="004E5A39">
      <w:pPr>
        <w:spacing w:after="0" w:line="240" w:lineRule="auto"/>
        <w:jc w:val="both"/>
        <w:rPr>
          <w:sz w:val="24"/>
          <w:szCs w:val="24"/>
        </w:rPr>
      </w:pPr>
    </w:p>
    <w:p w14:paraId="5DD3F6AA" w14:textId="77777777" w:rsidR="004E5A39" w:rsidRPr="00FB6F3A" w:rsidRDefault="004E5A39" w:rsidP="004E5A39">
      <w:pPr>
        <w:spacing w:after="0" w:line="240" w:lineRule="auto"/>
        <w:jc w:val="both"/>
        <w:rPr>
          <w:sz w:val="24"/>
          <w:szCs w:val="24"/>
        </w:rPr>
      </w:pPr>
    </w:p>
    <w:p w14:paraId="27AAC1A2" w14:textId="77777777" w:rsidR="004E5A39" w:rsidRPr="00FB6F3A" w:rsidRDefault="004E5A39" w:rsidP="004E5A39">
      <w:pPr>
        <w:spacing w:after="0" w:line="240" w:lineRule="auto"/>
        <w:jc w:val="both"/>
        <w:rPr>
          <w:sz w:val="24"/>
          <w:szCs w:val="24"/>
        </w:rPr>
      </w:pPr>
    </w:p>
    <w:p w14:paraId="5CD33094" w14:textId="77777777" w:rsidR="004E5A39" w:rsidRPr="00FB6F3A" w:rsidRDefault="004E5A39" w:rsidP="004E5A39">
      <w:pPr>
        <w:pStyle w:val="Paragrafoelenco"/>
        <w:numPr>
          <w:ilvl w:val="0"/>
          <w:numId w:val="1"/>
        </w:numPr>
        <w:spacing w:after="0" w:line="240" w:lineRule="auto"/>
        <w:rPr>
          <w:b/>
          <w:sz w:val="24"/>
          <w:szCs w:val="24"/>
        </w:rPr>
      </w:pPr>
      <w:r w:rsidRPr="00FB6F3A">
        <w:rPr>
          <w:b/>
          <w:sz w:val="24"/>
          <w:szCs w:val="24"/>
        </w:rPr>
        <w:t>INTRODUZIONE</w:t>
      </w:r>
    </w:p>
    <w:p w14:paraId="2CFB779B" w14:textId="77777777" w:rsidR="004E5A39" w:rsidRPr="00FB6F3A" w:rsidRDefault="004E5A39" w:rsidP="004E5A39">
      <w:pPr>
        <w:spacing w:after="0" w:line="240" w:lineRule="auto"/>
        <w:jc w:val="both"/>
        <w:rPr>
          <w:sz w:val="24"/>
          <w:szCs w:val="24"/>
        </w:rPr>
      </w:pPr>
    </w:p>
    <w:p w14:paraId="462846FB" w14:textId="77777777" w:rsidR="004E5A39" w:rsidRPr="00FB6F3A" w:rsidRDefault="004E5A39" w:rsidP="004E5A39">
      <w:pPr>
        <w:pStyle w:val="Paragrafoelenco"/>
        <w:numPr>
          <w:ilvl w:val="0"/>
          <w:numId w:val="1"/>
        </w:numPr>
        <w:spacing w:after="0" w:line="240" w:lineRule="auto"/>
        <w:jc w:val="both"/>
        <w:rPr>
          <w:b/>
          <w:sz w:val="24"/>
          <w:szCs w:val="24"/>
        </w:rPr>
      </w:pPr>
      <w:r w:rsidRPr="00FB6F3A">
        <w:rPr>
          <w:b/>
          <w:sz w:val="24"/>
          <w:szCs w:val="24"/>
        </w:rPr>
        <w:t>ASPETTI DI QUALITA’</w:t>
      </w:r>
    </w:p>
    <w:p w14:paraId="1237E493" w14:textId="77777777" w:rsidR="004E5A39" w:rsidRPr="00FB6F3A" w:rsidRDefault="004E5A39" w:rsidP="004E5A39">
      <w:pPr>
        <w:pStyle w:val="Paragrafoelenco"/>
        <w:rPr>
          <w:b/>
          <w:sz w:val="24"/>
          <w:szCs w:val="24"/>
        </w:rPr>
      </w:pPr>
    </w:p>
    <w:p w14:paraId="0548A9A2" w14:textId="77777777" w:rsidR="004E5A39" w:rsidRPr="00FB6F3A" w:rsidRDefault="004E5A39" w:rsidP="004E5A39">
      <w:pPr>
        <w:pStyle w:val="Paragrafoelenco"/>
        <w:numPr>
          <w:ilvl w:val="0"/>
          <w:numId w:val="1"/>
        </w:numPr>
        <w:spacing w:after="0" w:line="240" w:lineRule="auto"/>
        <w:jc w:val="both"/>
        <w:rPr>
          <w:b/>
          <w:sz w:val="24"/>
          <w:szCs w:val="24"/>
        </w:rPr>
      </w:pPr>
      <w:r w:rsidRPr="00FB6F3A">
        <w:rPr>
          <w:b/>
          <w:sz w:val="24"/>
          <w:szCs w:val="24"/>
        </w:rPr>
        <w:t>ASPETTI NON CLINICI</w:t>
      </w:r>
    </w:p>
    <w:p w14:paraId="4FA0513D" w14:textId="77777777" w:rsidR="004E5A39" w:rsidRPr="00FB6F3A" w:rsidRDefault="004E5A39" w:rsidP="004E5A39">
      <w:pPr>
        <w:pStyle w:val="Paragrafoelenco"/>
        <w:rPr>
          <w:b/>
          <w:sz w:val="24"/>
          <w:szCs w:val="24"/>
        </w:rPr>
      </w:pPr>
    </w:p>
    <w:p w14:paraId="54598380" w14:textId="77777777" w:rsidR="004E5A39" w:rsidRPr="00FB6F3A" w:rsidRDefault="004E5A39" w:rsidP="004E5A39">
      <w:pPr>
        <w:pStyle w:val="Paragrafoelenco"/>
        <w:numPr>
          <w:ilvl w:val="0"/>
          <w:numId w:val="1"/>
        </w:numPr>
        <w:spacing w:after="0" w:line="240" w:lineRule="auto"/>
        <w:jc w:val="both"/>
        <w:rPr>
          <w:b/>
          <w:sz w:val="24"/>
          <w:szCs w:val="24"/>
        </w:rPr>
      </w:pPr>
      <w:r w:rsidRPr="00FB6F3A">
        <w:rPr>
          <w:b/>
          <w:sz w:val="24"/>
          <w:szCs w:val="24"/>
        </w:rPr>
        <w:t>ASPETTI CLINICI</w:t>
      </w:r>
    </w:p>
    <w:p w14:paraId="0916A663" w14:textId="77777777" w:rsidR="004E5A39" w:rsidRPr="00FB6F3A" w:rsidRDefault="004E5A39" w:rsidP="004E5A39">
      <w:pPr>
        <w:pStyle w:val="Paragrafoelenco"/>
        <w:rPr>
          <w:b/>
          <w:sz w:val="24"/>
          <w:szCs w:val="24"/>
        </w:rPr>
      </w:pPr>
    </w:p>
    <w:p w14:paraId="44F9D21F" w14:textId="77777777" w:rsidR="004E5A39" w:rsidRPr="00FB6F3A" w:rsidRDefault="004E5A39" w:rsidP="004E5A39">
      <w:pPr>
        <w:pStyle w:val="Paragrafoelenco"/>
        <w:numPr>
          <w:ilvl w:val="0"/>
          <w:numId w:val="1"/>
        </w:numPr>
        <w:spacing w:after="0" w:line="240" w:lineRule="auto"/>
        <w:jc w:val="both"/>
        <w:rPr>
          <w:b/>
          <w:sz w:val="24"/>
          <w:szCs w:val="24"/>
        </w:rPr>
      </w:pPr>
      <w:r w:rsidRPr="00FB6F3A">
        <w:rPr>
          <w:b/>
          <w:sz w:val="24"/>
          <w:szCs w:val="24"/>
        </w:rPr>
        <w:t>CONSULTAZIONE SUL FOGLIO ILLUSTRATIVO</w:t>
      </w:r>
    </w:p>
    <w:p w14:paraId="3EFEC4E8" w14:textId="77777777" w:rsidR="004E5A39" w:rsidRPr="00FB6F3A" w:rsidRDefault="004E5A39" w:rsidP="004E5A39">
      <w:pPr>
        <w:pStyle w:val="Paragrafoelenco"/>
        <w:spacing w:after="0" w:line="240" w:lineRule="auto"/>
        <w:ind w:left="1080"/>
        <w:jc w:val="both"/>
        <w:rPr>
          <w:b/>
          <w:sz w:val="24"/>
          <w:szCs w:val="24"/>
        </w:rPr>
      </w:pPr>
    </w:p>
    <w:p w14:paraId="4ED4C35C" w14:textId="77777777" w:rsidR="004E5A39" w:rsidRPr="00FB6F3A" w:rsidRDefault="004E5A39" w:rsidP="004E5A39">
      <w:pPr>
        <w:pStyle w:val="Paragrafoelenco"/>
        <w:numPr>
          <w:ilvl w:val="0"/>
          <w:numId w:val="1"/>
        </w:numPr>
        <w:spacing w:after="0" w:line="240" w:lineRule="auto"/>
        <w:jc w:val="both"/>
        <w:rPr>
          <w:b/>
          <w:sz w:val="24"/>
          <w:szCs w:val="24"/>
        </w:rPr>
      </w:pPr>
      <w:r w:rsidRPr="00FB6F3A">
        <w:rPr>
          <w:b/>
          <w:sz w:val="24"/>
          <w:szCs w:val="24"/>
        </w:rPr>
        <w:t>CONCLUSIONI, VALUTAZIONE DEL RAPPORTO BENEFICIO/RISCHIO E RACCOMANDAZIONI</w:t>
      </w:r>
    </w:p>
    <w:p w14:paraId="53577A69" w14:textId="77777777" w:rsidR="004E5A39" w:rsidRDefault="004E5A39" w:rsidP="004E5A39"/>
    <w:p w14:paraId="5DFFEDC0" w14:textId="77777777" w:rsidR="004E5A39" w:rsidRDefault="004E5A39" w:rsidP="004E5A39"/>
    <w:p w14:paraId="3E50D643" w14:textId="77777777" w:rsidR="004E5A39" w:rsidRDefault="004E5A39" w:rsidP="004E5A39"/>
    <w:p w14:paraId="3E389751" w14:textId="77777777" w:rsidR="004E5A39" w:rsidRDefault="004E5A39" w:rsidP="004E5A39"/>
    <w:p w14:paraId="1C11C323" w14:textId="77777777" w:rsidR="004E5A39" w:rsidRDefault="004E5A39" w:rsidP="004E5A39"/>
    <w:p w14:paraId="7077DED8" w14:textId="77777777" w:rsidR="004E5A39" w:rsidRDefault="004E5A39" w:rsidP="004E5A39"/>
    <w:p w14:paraId="41ACE919" w14:textId="77777777" w:rsidR="004E5A39" w:rsidRDefault="004E5A39" w:rsidP="004E5A39"/>
    <w:p w14:paraId="21773BD3" w14:textId="77777777" w:rsidR="004E5A39" w:rsidRDefault="004E5A39" w:rsidP="004E5A39"/>
    <w:p w14:paraId="763EDC06" w14:textId="77777777" w:rsidR="004E5A39" w:rsidRDefault="004E5A39" w:rsidP="004E5A39"/>
    <w:p w14:paraId="648BD23B" w14:textId="77777777" w:rsidR="004E5A39" w:rsidRDefault="004E5A39" w:rsidP="004E5A39"/>
    <w:p w14:paraId="630D0B9B" w14:textId="77777777" w:rsidR="004E5A39" w:rsidRDefault="004E5A39" w:rsidP="004E5A39"/>
    <w:p w14:paraId="068321EA" w14:textId="77777777" w:rsidR="00EF6711" w:rsidRDefault="00EF6711" w:rsidP="004E5A39"/>
    <w:p w14:paraId="6FB8B0FF" w14:textId="77777777" w:rsidR="00EF6711" w:rsidRDefault="00EF6711" w:rsidP="004E5A39"/>
    <w:p w14:paraId="1B6B202C" w14:textId="77777777" w:rsidR="00BF02DC" w:rsidRDefault="00BF02DC" w:rsidP="004E5A39"/>
    <w:p w14:paraId="77BE036F" w14:textId="77777777" w:rsidR="00CC52A3" w:rsidRDefault="00CC52A3" w:rsidP="004E5A39"/>
    <w:p w14:paraId="4F96B627" w14:textId="77777777" w:rsidR="004E5A39" w:rsidRPr="00FF13D1" w:rsidRDefault="004E5A39" w:rsidP="00EF6711">
      <w:pPr>
        <w:pStyle w:val="Paragrafoelenco"/>
        <w:numPr>
          <w:ilvl w:val="0"/>
          <w:numId w:val="2"/>
        </w:numPr>
        <w:spacing w:after="0" w:line="240" w:lineRule="auto"/>
        <w:rPr>
          <w:b/>
          <w:sz w:val="24"/>
          <w:szCs w:val="24"/>
        </w:rPr>
      </w:pPr>
      <w:r w:rsidRPr="00FF13D1">
        <w:rPr>
          <w:b/>
          <w:sz w:val="24"/>
          <w:szCs w:val="24"/>
        </w:rPr>
        <w:t>INTRODUZIONE</w:t>
      </w:r>
    </w:p>
    <w:p w14:paraId="63D6E7AF" w14:textId="77777777" w:rsidR="00A8557C" w:rsidRPr="00FF13D1" w:rsidRDefault="00A8557C" w:rsidP="00A8557C">
      <w:pPr>
        <w:pStyle w:val="Paragrafoelenco"/>
        <w:spacing w:after="0" w:line="240" w:lineRule="auto"/>
        <w:ind w:left="1800"/>
        <w:rPr>
          <w:b/>
          <w:sz w:val="24"/>
          <w:szCs w:val="24"/>
        </w:rPr>
      </w:pPr>
    </w:p>
    <w:p w14:paraId="46830588" w14:textId="77777777" w:rsidR="004E5A39" w:rsidRPr="00FF13D1" w:rsidRDefault="004E5A39" w:rsidP="00EF6711">
      <w:pPr>
        <w:autoSpaceDE w:val="0"/>
        <w:autoSpaceDN w:val="0"/>
        <w:adjustRightInd w:val="0"/>
        <w:spacing w:after="0" w:line="240" w:lineRule="auto"/>
        <w:jc w:val="both"/>
        <w:rPr>
          <w:sz w:val="24"/>
          <w:szCs w:val="24"/>
        </w:rPr>
      </w:pPr>
      <w:r w:rsidRPr="00FF13D1">
        <w:rPr>
          <w:sz w:val="24"/>
          <w:szCs w:val="24"/>
        </w:rPr>
        <w:t xml:space="preserve">Sulla base dei dati di qualità, sicurezza ed efficacia, l’AIFA ha rilasciato a </w:t>
      </w:r>
      <w:r w:rsidR="0001070A" w:rsidRPr="00A504AE">
        <w:rPr>
          <w:sz w:val="24"/>
          <w:szCs w:val="24"/>
        </w:rPr>
        <w:t>Baxalta Innovations GmbH</w:t>
      </w:r>
      <w:r w:rsidR="0001070A" w:rsidRPr="00FF13D1">
        <w:rPr>
          <w:sz w:val="24"/>
          <w:szCs w:val="24"/>
        </w:rPr>
        <w:t xml:space="preserve"> </w:t>
      </w:r>
      <w:r w:rsidRPr="00FF13D1">
        <w:rPr>
          <w:sz w:val="24"/>
          <w:szCs w:val="24"/>
        </w:rPr>
        <w:t xml:space="preserve">l’autorizzazione all’immissione in commercio (AIC) per il medicinale </w:t>
      </w:r>
      <w:r w:rsidR="00D41C63" w:rsidRPr="00FF13D1">
        <w:rPr>
          <w:rFonts w:eastAsia="Calibri" w:cs="Calibri"/>
          <w:color w:val="000000"/>
          <w:sz w:val="24"/>
          <w:szCs w:val="24"/>
          <w:lang w:eastAsia="it-IT"/>
        </w:rPr>
        <w:t>FEIBA</w:t>
      </w:r>
      <w:r w:rsidR="0001070A" w:rsidRPr="00FF13D1">
        <w:rPr>
          <w:rFonts w:eastAsia="Calibri" w:cs="Calibri"/>
          <w:color w:val="000000"/>
          <w:sz w:val="24"/>
          <w:szCs w:val="24"/>
          <w:lang w:eastAsia="it-IT"/>
        </w:rPr>
        <w:t>, 100 UF/mL, polvere e solvente per infusione</w:t>
      </w:r>
      <w:r w:rsidR="00D643B2">
        <w:rPr>
          <w:rFonts w:eastAsia="Calibri" w:cs="Calibri"/>
          <w:color w:val="000000"/>
          <w:sz w:val="24"/>
          <w:szCs w:val="24"/>
          <w:lang w:eastAsia="it-IT"/>
        </w:rPr>
        <w:t>,</w:t>
      </w:r>
      <w:r w:rsidR="0001070A" w:rsidRPr="00FF13D1">
        <w:rPr>
          <w:rFonts w:eastAsia="Calibri" w:cs="Calibri"/>
          <w:color w:val="000000"/>
          <w:sz w:val="24"/>
          <w:szCs w:val="24"/>
          <w:lang w:eastAsia="it-IT"/>
        </w:rPr>
        <w:t xml:space="preserve"> </w:t>
      </w:r>
      <w:r w:rsidRPr="00FF13D1">
        <w:rPr>
          <w:rFonts w:eastAsia="Calibri" w:cs="Calibri"/>
          <w:bCs/>
          <w:iCs/>
          <w:sz w:val="24"/>
          <w:szCs w:val="24"/>
          <w:lang w:eastAsia="it-IT"/>
        </w:rPr>
        <w:t xml:space="preserve">il </w:t>
      </w:r>
      <w:r w:rsidR="000538B9" w:rsidRPr="00FF13D1">
        <w:rPr>
          <w:rFonts w:eastAsia="Calibri" w:cs="Calibri"/>
          <w:bCs/>
          <w:iCs/>
          <w:sz w:val="24"/>
          <w:szCs w:val="24"/>
          <w:lang w:eastAsia="it-IT"/>
        </w:rPr>
        <w:t>18/03/2026</w:t>
      </w:r>
      <w:r w:rsidR="009E0140" w:rsidRPr="00FF13D1">
        <w:rPr>
          <w:rFonts w:eastAsia="Calibri" w:cs="Calibri"/>
          <w:bCs/>
          <w:iCs/>
          <w:sz w:val="24"/>
          <w:szCs w:val="24"/>
          <w:lang w:eastAsia="it-IT"/>
        </w:rPr>
        <w:t>.</w:t>
      </w:r>
      <w:r w:rsidRPr="00FF13D1">
        <w:rPr>
          <w:sz w:val="24"/>
          <w:szCs w:val="24"/>
        </w:rPr>
        <w:t xml:space="preserve">  </w:t>
      </w:r>
    </w:p>
    <w:p w14:paraId="2B780DE5" w14:textId="77777777" w:rsidR="00EF6711" w:rsidRPr="00FF13D1" w:rsidRDefault="006278BE" w:rsidP="00A8557C">
      <w:pPr>
        <w:autoSpaceDE w:val="0"/>
        <w:autoSpaceDN w:val="0"/>
        <w:adjustRightInd w:val="0"/>
        <w:spacing w:after="0" w:line="240" w:lineRule="auto"/>
        <w:jc w:val="both"/>
        <w:rPr>
          <w:rFonts w:eastAsia="Calibri" w:cs="Calibri"/>
          <w:color w:val="000000"/>
          <w:sz w:val="24"/>
          <w:szCs w:val="24"/>
        </w:rPr>
      </w:pPr>
      <w:r w:rsidRPr="00FF13D1">
        <w:rPr>
          <w:rFonts w:eastAsia="Calibri" w:cs="Calibri"/>
          <w:color w:val="000000"/>
          <w:sz w:val="24"/>
          <w:szCs w:val="24"/>
          <w:lang w:eastAsia="it-IT"/>
        </w:rPr>
        <w:t>FEIBA</w:t>
      </w:r>
      <w:r w:rsidR="00A8557C" w:rsidRPr="00FF13D1">
        <w:rPr>
          <w:rFonts w:eastAsia="Calibri" w:cs="Calibri"/>
          <w:color w:val="000000"/>
          <w:sz w:val="24"/>
          <w:szCs w:val="24"/>
          <w:lang w:eastAsia="it-IT"/>
        </w:rPr>
        <w:t>, 100 UF/mL,</w:t>
      </w:r>
      <w:r w:rsidR="00D643B2">
        <w:rPr>
          <w:rFonts w:eastAsia="Calibri" w:cs="Calibri"/>
          <w:color w:val="000000"/>
          <w:sz w:val="24"/>
          <w:szCs w:val="24"/>
          <w:lang w:eastAsia="it-IT"/>
        </w:rPr>
        <w:t xml:space="preserve"> polvere e solvente per soluzione per infusione,</w:t>
      </w:r>
      <w:r w:rsidR="00A8557C" w:rsidRPr="00FF13D1">
        <w:rPr>
          <w:rFonts w:eastAsia="Calibri" w:cs="Calibri"/>
          <w:color w:val="000000"/>
          <w:sz w:val="24"/>
          <w:szCs w:val="24"/>
          <w:lang w:eastAsia="it-IT"/>
        </w:rPr>
        <w:t xml:space="preserve"> </w:t>
      </w:r>
      <w:r w:rsidR="00D643B2">
        <w:rPr>
          <w:rFonts w:eastAsia="Calibri" w:cs="Calibri"/>
          <w:color w:val="000000"/>
          <w:sz w:val="24"/>
          <w:szCs w:val="24"/>
          <w:lang w:eastAsia="it-IT"/>
        </w:rPr>
        <w:t xml:space="preserve">può essere ottenuto solo su </w:t>
      </w:r>
      <w:r w:rsidR="00A8557C" w:rsidRPr="00FF13D1">
        <w:rPr>
          <w:rFonts w:eastAsia="Calibri" w:cs="Calibri"/>
          <w:color w:val="000000"/>
          <w:sz w:val="24"/>
          <w:szCs w:val="24"/>
        </w:rPr>
        <w:t>prescrizione medica limitativa, vendibile al pubblico su prescrizione di centri ospedalie</w:t>
      </w:r>
      <w:r w:rsidR="00695FA9">
        <w:rPr>
          <w:rFonts w:eastAsia="Calibri" w:cs="Calibri"/>
          <w:color w:val="000000"/>
          <w:sz w:val="24"/>
          <w:szCs w:val="24"/>
        </w:rPr>
        <w:t>ri o di specialisti, ematologo e internista, con ricetta limitativa ripetibile.</w:t>
      </w:r>
    </w:p>
    <w:p w14:paraId="37B9DBB7" w14:textId="77777777" w:rsidR="002F64BE" w:rsidRDefault="004E5A39" w:rsidP="00A8557C">
      <w:pPr>
        <w:spacing w:after="0" w:line="240" w:lineRule="auto"/>
        <w:jc w:val="both"/>
        <w:rPr>
          <w:sz w:val="24"/>
          <w:szCs w:val="24"/>
        </w:rPr>
      </w:pPr>
      <w:r w:rsidRPr="00FF13D1">
        <w:rPr>
          <w:sz w:val="24"/>
          <w:szCs w:val="24"/>
        </w:rPr>
        <w:t xml:space="preserve">Questa procedura è stata presentata </w:t>
      </w:r>
      <w:r w:rsidR="006916B4">
        <w:rPr>
          <w:sz w:val="24"/>
          <w:szCs w:val="24"/>
        </w:rPr>
        <w:t>a</w:t>
      </w:r>
      <w:r w:rsidR="006916B4" w:rsidRPr="006916B4">
        <w:rPr>
          <w:sz w:val="24"/>
          <w:szCs w:val="24"/>
        </w:rPr>
        <w:t>i sensi della Dirett</w:t>
      </w:r>
      <w:r w:rsidR="00C00BEA">
        <w:rPr>
          <w:sz w:val="24"/>
          <w:szCs w:val="24"/>
        </w:rPr>
        <w:t>iva 2001/83/EU s.m.i</w:t>
      </w:r>
      <w:r w:rsidR="006916B4" w:rsidRPr="006916B4">
        <w:rPr>
          <w:sz w:val="24"/>
          <w:szCs w:val="24"/>
        </w:rPr>
        <w:t>, articolo 8(3) dossier completo</w:t>
      </w:r>
      <w:r w:rsidR="006916B4">
        <w:rPr>
          <w:sz w:val="24"/>
          <w:szCs w:val="24"/>
        </w:rPr>
        <w:t>,</w:t>
      </w:r>
      <w:r w:rsidR="006916B4" w:rsidRPr="006916B4">
        <w:rPr>
          <w:sz w:val="24"/>
          <w:szCs w:val="24"/>
        </w:rPr>
        <w:t xml:space="preserve"> </w:t>
      </w:r>
      <w:r w:rsidR="00A8557C" w:rsidRPr="00FF13D1">
        <w:rPr>
          <w:sz w:val="24"/>
          <w:szCs w:val="24"/>
        </w:rPr>
        <w:t xml:space="preserve">come domanda di estensione dell’autorizzazione all'immissione in commercio del </w:t>
      </w:r>
      <w:r w:rsidR="00A8557C" w:rsidRPr="00C314D7">
        <w:rPr>
          <w:sz w:val="24"/>
          <w:szCs w:val="24"/>
        </w:rPr>
        <w:t xml:space="preserve">medicinale </w:t>
      </w:r>
      <w:r w:rsidR="00D41C63" w:rsidRPr="00C314D7">
        <w:rPr>
          <w:sz w:val="24"/>
          <w:szCs w:val="24"/>
        </w:rPr>
        <w:t>FEIBA</w:t>
      </w:r>
      <w:r w:rsidR="00A8557C" w:rsidRPr="00C314D7">
        <w:rPr>
          <w:sz w:val="24"/>
          <w:szCs w:val="24"/>
        </w:rPr>
        <w:t>,</w:t>
      </w:r>
      <w:r w:rsidR="002F64BE" w:rsidRPr="00C314D7">
        <w:rPr>
          <w:sz w:val="24"/>
          <w:szCs w:val="24"/>
        </w:rPr>
        <w:t xml:space="preserve"> 50 UF/mL, polvere e solvente per soluzione per infusione, </w:t>
      </w:r>
      <w:r w:rsidR="00A8557C" w:rsidRPr="00C314D7">
        <w:rPr>
          <w:sz w:val="24"/>
          <w:szCs w:val="24"/>
        </w:rPr>
        <w:t>per l’introduzione di un</w:t>
      </w:r>
      <w:r w:rsidR="00A8557C" w:rsidRPr="00FF13D1">
        <w:rPr>
          <w:sz w:val="24"/>
          <w:szCs w:val="24"/>
        </w:rPr>
        <w:t xml:space="preserve"> nuovo dosaggio pari a 100 UF/mL</w:t>
      </w:r>
      <w:r w:rsidR="006916B4">
        <w:rPr>
          <w:sz w:val="24"/>
          <w:szCs w:val="24"/>
        </w:rPr>
        <w:t xml:space="preserve">, </w:t>
      </w:r>
      <w:r w:rsidR="00A8557C" w:rsidRPr="00FF13D1">
        <w:rPr>
          <w:sz w:val="24"/>
          <w:szCs w:val="24"/>
        </w:rPr>
        <w:t>ai sensi del D. Lgs. n.219/2006, art. 6 c.2 e ai sensi del Regolamento CE n. 1234/2008, art. 19 – Allegato I – 2 (c) aggiunta di u</w:t>
      </w:r>
      <w:r w:rsidR="00931BB6">
        <w:rPr>
          <w:sz w:val="24"/>
          <w:szCs w:val="24"/>
        </w:rPr>
        <w:t>n nuovo dosaggio</w:t>
      </w:r>
      <w:r w:rsidR="006916B4">
        <w:rPr>
          <w:sz w:val="24"/>
          <w:szCs w:val="24"/>
        </w:rPr>
        <w:t>.</w:t>
      </w:r>
    </w:p>
    <w:p w14:paraId="702EC6EE" w14:textId="77777777" w:rsidR="00CB17B8" w:rsidRPr="00CB17B8" w:rsidRDefault="00CB17B8" w:rsidP="00CB17B8">
      <w:pPr>
        <w:spacing w:after="0" w:line="240" w:lineRule="auto"/>
        <w:jc w:val="both"/>
        <w:rPr>
          <w:sz w:val="24"/>
          <w:szCs w:val="24"/>
        </w:rPr>
      </w:pPr>
    </w:p>
    <w:p w14:paraId="4D92954A" w14:textId="77777777" w:rsidR="00123A00" w:rsidRDefault="006278BE" w:rsidP="00CB17B8">
      <w:pPr>
        <w:spacing w:after="0" w:line="240" w:lineRule="auto"/>
        <w:jc w:val="both"/>
        <w:rPr>
          <w:sz w:val="24"/>
          <w:szCs w:val="24"/>
        </w:rPr>
      </w:pPr>
      <w:r w:rsidRPr="00CB17B8">
        <w:rPr>
          <w:sz w:val="24"/>
          <w:szCs w:val="24"/>
        </w:rPr>
        <w:t>FEIBA</w:t>
      </w:r>
      <w:r w:rsidR="00CB17B8" w:rsidRPr="00CB17B8">
        <w:rPr>
          <w:sz w:val="24"/>
          <w:szCs w:val="24"/>
        </w:rPr>
        <w:t>, 100 UF/mL, polvere e solvente per soluzione per infu</w:t>
      </w:r>
      <w:r w:rsidR="00CB17B8">
        <w:rPr>
          <w:sz w:val="24"/>
          <w:szCs w:val="24"/>
        </w:rPr>
        <w:t xml:space="preserve">sione, il cui codice ATC è </w:t>
      </w:r>
      <w:r w:rsidR="00CB17B8" w:rsidRPr="00CB17B8">
        <w:rPr>
          <w:sz w:val="24"/>
          <w:szCs w:val="24"/>
        </w:rPr>
        <w:t xml:space="preserve">B02BD03, </w:t>
      </w:r>
      <w:r w:rsidR="00161AFF">
        <w:rPr>
          <w:sz w:val="24"/>
          <w:szCs w:val="24"/>
        </w:rPr>
        <w:t>(</w:t>
      </w:r>
      <w:r w:rsidR="00161AFF" w:rsidRPr="00161AFF">
        <w:rPr>
          <w:sz w:val="24"/>
          <w:szCs w:val="24"/>
        </w:rPr>
        <w:t>Gruppo farmaceutico: Antiemorragici: Attività di bypass d</w:t>
      </w:r>
      <w:r w:rsidR="00161AFF">
        <w:rPr>
          <w:sz w:val="24"/>
          <w:szCs w:val="24"/>
        </w:rPr>
        <w:t xml:space="preserve">ell’inibitore del fattore VIII) </w:t>
      </w:r>
      <w:r w:rsidR="0039515C">
        <w:rPr>
          <w:sz w:val="24"/>
          <w:szCs w:val="24"/>
        </w:rPr>
        <w:t xml:space="preserve">contiene il principio attivo </w:t>
      </w:r>
      <w:r w:rsidR="0039515C" w:rsidRPr="0039515C">
        <w:rPr>
          <w:sz w:val="24"/>
          <w:szCs w:val="24"/>
        </w:rPr>
        <w:t>complesso protrombinico attivato</w:t>
      </w:r>
      <w:r w:rsidR="00C03ACD">
        <w:rPr>
          <w:sz w:val="24"/>
          <w:szCs w:val="24"/>
        </w:rPr>
        <w:t>.</w:t>
      </w:r>
      <w:r w:rsidR="0039515C">
        <w:rPr>
          <w:sz w:val="24"/>
          <w:szCs w:val="24"/>
        </w:rPr>
        <w:t xml:space="preserve"> </w:t>
      </w:r>
    </w:p>
    <w:p w14:paraId="0B762967" w14:textId="77777777" w:rsidR="00123A00" w:rsidRDefault="006278BE" w:rsidP="00CB17B8">
      <w:pPr>
        <w:spacing w:after="0" w:line="240" w:lineRule="auto"/>
        <w:jc w:val="both"/>
        <w:rPr>
          <w:sz w:val="24"/>
          <w:szCs w:val="24"/>
        </w:rPr>
      </w:pPr>
      <w:r w:rsidRPr="00123A00">
        <w:rPr>
          <w:sz w:val="24"/>
          <w:szCs w:val="24"/>
        </w:rPr>
        <w:t>FEIBA</w:t>
      </w:r>
      <w:r w:rsidR="00123A00" w:rsidRPr="00123A00">
        <w:rPr>
          <w:sz w:val="24"/>
          <w:szCs w:val="24"/>
        </w:rPr>
        <w:t>, 100 UF/mL, polvere e solvente per soluzione per infusione, è utilizzato per il trattamento e la profilassi degli episodi emorragici in soggetti con l’inibitore congenito o acquisito del fattore VIII e per il trattamento dei pazienti con inibitore del Fattore XIa.</w:t>
      </w:r>
    </w:p>
    <w:p w14:paraId="4F1F0F03" w14:textId="511CB344" w:rsidR="00C00BEA" w:rsidRDefault="006278BE" w:rsidP="00CB17B8">
      <w:pPr>
        <w:spacing w:after="0" w:line="240" w:lineRule="auto"/>
        <w:jc w:val="both"/>
        <w:rPr>
          <w:sz w:val="24"/>
          <w:szCs w:val="24"/>
        </w:rPr>
      </w:pPr>
      <w:r w:rsidRPr="0039515C">
        <w:rPr>
          <w:sz w:val="24"/>
          <w:szCs w:val="24"/>
        </w:rPr>
        <w:t>F</w:t>
      </w:r>
      <w:r>
        <w:rPr>
          <w:sz w:val="24"/>
          <w:szCs w:val="24"/>
        </w:rPr>
        <w:t>EIBA</w:t>
      </w:r>
      <w:r w:rsidR="00695FA9">
        <w:rPr>
          <w:sz w:val="24"/>
          <w:szCs w:val="24"/>
        </w:rPr>
        <w:t xml:space="preserve">, </w:t>
      </w:r>
      <w:r w:rsidR="00695FA9" w:rsidRPr="00695FA9">
        <w:rPr>
          <w:sz w:val="24"/>
          <w:szCs w:val="24"/>
        </w:rPr>
        <w:t>100 UF/mL, polvere e solvente per soluzione per infusione</w:t>
      </w:r>
      <w:r w:rsidR="00695FA9">
        <w:rPr>
          <w:sz w:val="24"/>
          <w:szCs w:val="24"/>
        </w:rPr>
        <w:t>,</w:t>
      </w:r>
      <w:r w:rsidR="0039515C" w:rsidRPr="0039515C">
        <w:rPr>
          <w:sz w:val="24"/>
          <w:szCs w:val="24"/>
        </w:rPr>
        <w:t xml:space="preserve"> riduce il tempo di tromboplastina parziale attivato di un plasma contenente l’inibitore del fattore VIII. Questa attività viene determinata</w:t>
      </w:r>
      <w:r w:rsidR="00D02630">
        <w:rPr>
          <w:sz w:val="24"/>
          <w:szCs w:val="24"/>
        </w:rPr>
        <w:t xml:space="preserve"> mediante l</w:t>
      </w:r>
      <w:r w:rsidR="0039515C" w:rsidRPr="0039515C">
        <w:rPr>
          <w:sz w:val="24"/>
          <w:szCs w:val="24"/>
        </w:rPr>
        <w:t>’accorciamento del tempo di tromboplastina</w:t>
      </w:r>
      <w:r w:rsidR="0039515C" w:rsidRPr="0039515C">
        <w:t xml:space="preserve"> </w:t>
      </w:r>
      <w:r w:rsidR="0039515C" w:rsidRPr="0039515C">
        <w:rPr>
          <w:sz w:val="24"/>
          <w:szCs w:val="24"/>
        </w:rPr>
        <w:t>parziale attivato di un plasma contenente un alto titolo di inibitore del Fattore VIII, ed è espressa in unità FEIBA (una Unità FEIBA – UF – corrisponde all’attività di FEIBA che riduce il tempo di tromboplastina parziale attivata di un plasma di riferimento contenente un alto titolo di inibitore del Fattore VIII alla metà del valore del tampone).</w:t>
      </w:r>
    </w:p>
    <w:p w14:paraId="758FC193" w14:textId="77777777" w:rsidR="00885021" w:rsidRDefault="00885021" w:rsidP="00CB17B8">
      <w:pPr>
        <w:spacing w:after="0" w:line="240" w:lineRule="auto"/>
        <w:jc w:val="both"/>
        <w:rPr>
          <w:sz w:val="24"/>
          <w:szCs w:val="24"/>
        </w:rPr>
      </w:pPr>
    </w:p>
    <w:p w14:paraId="27021C4A" w14:textId="77777777" w:rsidR="00F400B9" w:rsidRDefault="00C00BEA" w:rsidP="00A8557C">
      <w:pPr>
        <w:spacing w:after="0" w:line="240" w:lineRule="auto"/>
        <w:jc w:val="both"/>
        <w:rPr>
          <w:sz w:val="24"/>
          <w:szCs w:val="24"/>
        </w:rPr>
      </w:pPr>
      <w:r>
        <w:rPr>
          <w:sz w:val="24"/>
          <w:szCs w:val="24"/>
        </w:rPr>
        <w:t xml:space="preserve">Dal momento che la domanda </w:t>
      </w:r>
      <w:r w:rsidR="00885021">
        <w:rPr>
          <w:sz w:val="24"/>
          <w:szCs w:val="24"/>
        </w:rPr>
        <w:t xml:space="preserve">per </w:t>
      </w:r>
      <w:r w:rsidR="00C977E1">
        <w:rPr>
          <w:sz w:val="24"/>
          <w:szCs w:val="24"/>
        </w:rPr>
        <w:t>FEIBA</w:t>
      </w:r>
      <w:r w:rsidR="00885021">
        <w:rPr>
          <w:sz w:val="24"/>
          <w:szCs w:val="24"/>
        </w:rPr>
        <w:t xml:space="preserve"> alla concentrazione di 100 UF/mL </w:t>
      </w:r>
      <w:r>
        <w:rPr>
          <w:sz w:val="24"/>
          <w:szCs w:val="24"/>
        </w:rPr>
        <w:t xml:space="preserve">è stata presentata come </w:t>
      </w:r>
      <w:r w:rsidRPr="00C314D7">
        <w:rPr>
          <w:i/>
          <w:sz w:val="24"/>
          <w:szCs w:val="24"/>
        </w:rPr>
        <w:t xml:space="preserve">line extension </w:t>
      </w:r>
      <w:r w:rsidRPr="00C314D7">
        <w:rPr>
          <w:sz w:val="24"/>
          <w:szCs w:val="24"/>
        </w:rPr>
        <w:t>de</w:t>
      </w:r>
      <w:r w:rsidR="00885021" w:rsidRPr="00C314D7">
        <w:rPr>
          <w:sz w:val="24"/>
          <w:szCs w:val="24"/>
        </w:rPr>
        <w:t xml:space="preserve">l medicinale autorizzato </w:t>
      </w:r>
      <w:r w:rsidR="00C977E1" w:rsidRPr="00C314D7">
        <w:rPr>
          <w:sz w:val="24"/>
          <w:szCs w:val="24"/>
        </w:rPr>
        <w:t>FEIBA</w:t>
      </w:r>
      <w:r w:rsidR="00885021" w:rsidRPr="00C314D7">
        <w:rPr>
          <w:sz w:val="24"/>
          <w:szCs w:val="24"/>
        </w:rPr>
        <w:t xml:space="preserve"> alla concentrazione </w:t>
      </w:r>
      <w:r w:rsidR="00BB3644" w:rsidRPr="00C314D7">
        <w:rPr>
          <w:sz w:val="24"/>
          <w:szCs w:val="24"/>
        </w:rPr>
        <w:t xml:space="preserve">di </w:t>
      </w:r>
      <w:r w:rsidRPr="00C314D7">
        <w:rPr>
          <w:sz w:val="24"/>
          <w:szCs w:val="24"/>
        </w:rPr>
        <w:t>50 UF/mL, polvere e solvente</w:t>
      </w:r>
      <w:r w:rsidR="00695FA9">
        <w:rPr>
          <w:sz w:val="24"/>
          <w:szCs w:val="24"/>
        </w:rPr>
        <w:t xml:space="preserve"> per soluzione per infusione, </w:t>
      </w:r>
      <w:r>
        <w:rPr>
          <w:sz w:val="24"/>
          <w:szCs w:val="24"/>
        </w:rPr>
        <w:t xml:space="preserve">la Società ha fatto riferimento alla documentazione non clinica e clinica già approvata per questo medicinale. </w:t>
      </w:r>
    </w:p>
    <w:p w14:paraId="17040E57" w14:textId="77777777" w:rsidR="00BB3644" w:rsidRPr="00FF13D1" w:rsidRDefault="00BB3644" w:rsidP="00A8557C">
      <w:pPr>
        <w:spacing w:after="0" w:line="240" w:lineRule="auto"/>
        <w:jc w:val="both"/>
        <w:rPr>
          <w:sz w:val="24"/>
          <w:szCs w:val="24"/>
        </w:rPr>
      </w:pPr>
    </w:p>
    <w:p w14:paraId="477B441F" w14:textId="5D1074CA" w:rsidR="00F400B9" w:rsidRDefault="00C977E1" w:rsidP="003C20C3">
      <w:pPr>
        <w:spacing w:after="0" w:line="240" w:lineRule="auto"/>
        <w:jc w:val="both"/>
        <w:rPr>
          <w:rFonts w:cs="Arial"/>
          <w:bCs/>
          <w:sz w:val="24"/>
          <w:szCs w:val="24"/>
        </w:rPr>
      </w:pPr>
      <w:r>
        <w:rPr>
          <w:sz w:val="24"/>
          <w:szCs w:val="24"/>
        </w:rPr>
        <w:t>FEIBA</w:t>
      </w:r>
      <w:r w:rsidR="003C20C3" w:rsidRPr="00FF13D1">
        <w:rPr>
          <w:sz w:val="24"/>
          <w:szCs w:val="24"/>
        </w:rPr>
        <w:t>, polvere e solvente per soluzione per infusione, alla nu</w:t>
      </w:r>
      <w:r w:rsidR="00C00BEA">
        <w:rPr>
          <w:sz w:val="24"/>
          <w:szCs w:val="24"/>
        </w:rPr>
        <w:t xml:space="preserve">ova concentrazione di 100 UF/mL, è ottenuto </w:t>
      </w:r>
      <w:r w:rsidR="003C20C3" w:rsidRPr="00FF13D1">
        <w:rPr>
          <w:sz w:val="24"/>
          <w:szCs w:val="24"/>
        </w:rPr>
        <w:t>dimezzando il volume del solvente (acqua per preparazioni iniettabili) di ricostituzione co-confezionato</w:t>
      </w:r>
      <w:r w:rsidR="00A419B5">
        <w:rPr>
          <w:sz w:val="24"/>
          <w:szCs w:val="24"/>
        </w:rPr>
        <w:t>,</w:t>
      </w:r>
      <w:r w:rsidR="00BB3644">
        <w:rPr>
          <w:sz w:val="24"/>
          <w:szCs w:val="24"/>
        </w:rPr>
        <w:t xml:space="preserve"> </w:t>
      </w:r>
      <w:r w:rsidR="00D02630">
        <w:rPr>
          <w:sz w:val="24"/>
          <w:szCs w:val="24"/>
        </w:rPr>
        <w:t>la quantità finale di principio attivo nella</w:t>
      </w:r>
      <w:r w:rsidR="00BB3644" w:rsidRPr="00BB3644">
        <w:rPr>
          <w:sz w:val="24"/>
          <w:szCs w:val="24"/>
        </w:rPr>
        <w:t xml:space="preserve"> soluzione ricostituita</w:t>
      </w:r>
      <w:r w:rsidR="00BB3644">
        <w:rPr>
          <w:sz w:val="24"/>
          <w:szCs w:val="24"/>
        </w:rPr>
        <w:t xml:space="preserve"> per flacon</w:t>
      </w:r>
      <w:r w:rsidR="00626757">
        <w:rPr>
          <w:sz w:val="24"/>
          <w:szCs w:val="24"/>
        </w:rPr>
        <w:t>cino</w:t>
      </w:r>
      <w:r w:rsidR="00BB3644">
        <w:rPr>
          <w:sz w:val="24"/>
          <w:szCs w:val="24"/>
        </w:rPr>
        <w:t xml:space="preserve"> </w:t>
      </w:r>
      <w:r w:rsidR="00A419B5">
        <w:rPr>
          <w:sz w:val="24"/>
          <w:szCs w:val="24"/>
        </w:rPr>
        <w:t xml:space="preserve">è di </w:t>
      </w:r>
      <w:r w:rsidR="00BB3644">
        <w:rPr>
          <w:sz w:val="24"/>
          <w:szCs w:val="24"/>
        </w:rPr>
        <w:t>500 UF, 1000 UF</w:t>
      </w:r>
      <w:r w:rsidR="00A419B5">
        <w:rPr>
          <w:sz w:val="24"/>
          <w:szCs w:val="24"/>
        </w:rPr>
        <w:t xml:space="preserve"> o</w:t>
      </w:r>
      <w:r w:rsidR="001A277B">
        <w:rPr>
          <w:sz w:val="24"/>
          <w:szCs w:val="24"/>
        </w:rPr>
        <w:t xml:space="preserve"> </w:t>
      </w:r>
      <w:r w:rsidR="00BB3644" w:rsidRPr="00BB3644">
        <w:rPr>
          <w:sz w:val="24"/>
          <w:szCs w:val="24"/>
        </w:rPr>
        <w:t xml:space="preserve">2500 UF di frazione bypassante </w:t>
      </w:r>
      <w:r w:rsidR="00BB3644">
        <w:rPr>
          <w:sz w:val="24"/>
          <w:szCs w:val="24"/>
        </w:rPr>
        <w:t>dell'inibitore del fattore VIII</w:t>
      </w:r>
      <w:r w:rsidR="00626757">
        <w:rPr>
          <w:sz w:val="24"/>
          <w:szCs w:val="24"/>
        </w:rPr>
        <w:t>.</w:t>
      </w:r>
      <w:r w:rsidR="00BB3644">
        <w:rPr>
          <w:sz w:val="24"/>
          <w:szCs w:val="24"/>
        </w:rPr>
        <w:t xml:space="preserve"> La nuova concentrazione di </w:t>
      </w:r>
      <w:r w:rsidR="00C00BEA">
        <w:rPr>
          <w:rFonts w:cs="Arial"/>
          <w:bCs/>
          <w:sz w:val="24"/>
          <w:szCs w:val="24"/>
        </w:rPr>
        <w:t xml:space="preserve">100 UF/mL </w:t>
      </w:r>
      <w:r w:rsidR="00BB3644">
        <w:rPr>
          <w:rFonts w:cs="Arial"/>
          <w:bCs/>
          <w:sz w:val="24"/>
          <w:szCs w:val="24"/>
        </w:rPr>
        <w:t xml:space="preserve">permette </w:t>
      </w:r>
      <w:r w:rsidR="00A419B5">
        <w:rPr>
          <w:rFonts w:cs="Arial"/>
          <w:bCs/>
          <w:sz w:val="24"/>
          <w:szCs w:val="24"/>
        </w:rPr>
        <w:t xml:space="preserve">quindi </w:t>
      </w:r>
      <w:r w:rsidR="00BB3644">
        <w:rPr>
          <w:rFonts w:cs="Arial"/>
          <w:bCs/>
          <w:sz w:val="24"/>
          <w:szCs w:val="24"/>
        </w:rPr>
        <w:t>un aumento della</w:t>
      </w:r>
      <w:r w:rsidR="003C20C3" w:rsidRPr="00FF13D1">
        <w:rPr>
          <w:rFonts w:cs="Arial"/>
          <w:bCs/>
          <w:sz w:val="24"/>
          <w:szCs w:val="24"/>
        </w:rPr>
        <w:t xml:space="preserve"> velocità di infusione </w:t>
      </w:r>
      <w:r w:rsidR="00953FCB" w:rsidRPr="00FF13D1">
        <w:rPr>
          <w:rFonts w:cs="Arial"/>
          <w:bCs/>
          <w:sz w:val="24"/>
          <w:szCs w:val="24"/>
        </w:rPr>
        <w:t>consentita</w:t>
      </w:r>
      <w:r w:rsidR="00D02630">
        <w:rPr>
          <w:rFonts w:cs="Arial"/>
          <w:bCs/>
          <w:sz w:val="24"/>
          <w:szCs w:val="24"/>
        </w:rPr>
        <w:t>,</w:t>
      </w:r>
      <w:r w:rsidR="00953FCB" w:rsidRPr="00FF13D1">
        <w:rPr>
          <w:rFonts w:cs="Arial"/>
          <w:bCs/>
          <w:sz w:val="24"/>
          <w:szCs w:val="24"/>
        </w:rPr>
        <w:t xml:space="preserve"> </w:t>
      </w:r>
      <w:r w:rsidR="003C20C3" w:rsidRPr="00FF13D1">
        <w:rPr>
          <w:rFonts w:cs="Arial"/>
          <w:bCs/>
          <w:sz w:val="24"/>
          <w:szCs w:val="24"/>
        </w:rPr>
        <w:t>fino a 10 U al</w:t>
      </w:r>
      <w:r w:rsidR="00BB3644">
        <w:rPr>
          <w:rFonts w:cs="Arial"/>
          <w:bCs/>
          <w:sz w:val="24"/>
          <w:szCs w:val="24"/>
        </w:rPr>
        <w:t xml:space="preserve"> minuto per kg di peso corporeo</w:t>
      </w:r>
      <w:r w:rsidR="00CC569F">
        <w:rPr>
          <w:rFonts w:cs="Arial"/>
          <w:bCs/>
          <w:sz w:val="24"/>
          <w:szCs w:val="24"/>
        </w:rPr>
        <w:t xml:space="preserve">. Questa </w:t>
      </w:r>
      <w:r w:rsidR="00B367AF">
        <w:rPr>
          <w:rFonts w:cs="Arial"/>
          <w:bCs/>
          <w:sz w:val="24"/>
          <w:szCs w:val="24"/>
        </w:rPr>
        <w:t xml:space="preserve">nuova concentrazione </w:t>
      </w:r>
      <w:r w:rsidR="00CC569F">
        <w:rPr>
          <w:rFonts w:cs="Arial"/>
          <w:bCs/>
          <w:sz w:val="24"/>
          <w:szCs w:val="24"/>
        </w:rPr>
        <w:t>è</w:t>
      </w:r>
      <w:r w:rsidR="00BB0974" w:rsidRPr="00BB0974">
        <w:rPr>
          <w:rFonts w:cs="Arial"/>
          <w:bCs/>
          <w:sz w:val="24"/>
          <w:szCs w:val="24"/>
        </w:rPr>
        <w:t xml:space="preserve"> stata introdotta al fine di ott</w:t>
      </w:r>
      <w:r w:rsidR="00B367AF">
        <w:rPr>
          <w:rFonts w:cs="Arial"/>
          <w:bCs/>
          <w:sz w:val="24"/>
          <w:szCs w:val="24"/>
        </w:rPr>
        <w:t xml:space="preserve">enere una </w:t>
      </w:r>
      <w:r w:rsidR="00B367AF" w:rsidRPr="00087C1C">
        <w:rPr>
          <w:rFonts w:cs="Arial"/>
          <w:bCs/>
          <w:sz w:val="24"/>
          <w:szCs w:val="24"/>
        </w:rPr>
        <w:t>somministrazione più vantaggiosa</w:t>
      </w:r>
      <w:r w:rsidR="00BB0974" w:rsidRPr="00087C1C">
        <w:rPr>
          <w:rFonts w:cs="Arial"/>
          <w:bCs/>
          <w:sz w:val="24"/>
          <w:szCs w:val="24"/>
        </w:rPr>
        <w:t xml:space="preserve"> per i pazienti</w:t>
      </w:r>
      <w:r w:rsidR="00D02630" w:rsidRPr="00087C1C">
        <w:rPr>
          <w:rFonts w:cs="Arial"/>
          <w:bCs/>
          <w:sz w:val="24"/>
          <w:szCs w:val="24"/>
        </w:rPr>
        <w:t>,</w:t>
      </w:r>
      <w:r w:rsidR="00BB0974" w:rsidRPr="00087C1C">
        <w:rPr>
          <w:rFonts w:cs="Arial"/>
          <w:bCs/>
          <w:sz w:val="24"/>
          <w:szCs w:val="24"/>
        </w:rPr>
        <w:t xml:space="preserve"> </w:t>
      </w:r>
      <w:r w:rsidR="00B367AF" w:rsidRPr="00087C1C">
        <w:rPr>
          <w:rFonts w:cs="Arial"/>
          <w:bCs/>
          <w:sz w:val="24"/>
          <w:szCs w:val="24"/>
        </w:rPr>
        <w:t xml:space="preserve">perché necessita di un </w:t>
      </w:r>
      <w:r w:rsidR="00A811B8" w:rsidRPr="00087C1C">
        <w:rPr>
          <w:rFonts w:cs="Arial"/>
          <w:bCs/>
          <w:sz w:val="24"/>
          <w:szCs w:val="24"/>
        </w:rPr>
        <w:t xml:space="preserve">minore </w:t>
      </w:r>
      <w:r w:rsidR="00B367AF" w:rsidRPr="00087C1C">
        <w:rPr>
          <w:rFonts w:cs="Arial"/>
          <w:bCs/>
          <w:sz w:val="24"/>
          <w:szCs w:val="24"/>
        </w:rPr>
        <w:t xml:space="preserve">tempo di infusione, </w:t>
      </w:r>
      <w:r w:rsidR="00BB0974" w:rsidRPr="00087C1C">
        <w:rPr>
          <w:rFonts w:cs="Arial"/>
          <w:bCs/>
          <w:sz w:val="24"/>
          <w:szCs w:val="24"/>
        </w:rPr>
        <w:t xml:space="preserve">grazie </w:t>
      </w:r>
      <w:r w:rsidR="00BB3644" w:rsidRPr="00087C1C">
        <w:rPr>
          <w:rFonts w:cs="Arial"/>
          <w:bCs/>
          <w:sz w:val="24"/>
          <w:szCs w:val="24"/>
        </w:rPr>
        <w:t>ad un</w:t>
      </w:r>
      <w:r w:rsidR="00BB0974" w:rsidRPr="00087C1C">
        <w:rPr>
          <w:rFonts w:cs="Arial"/>
          <w:bCs/>
          <w:sz w:val="24"/>
          <w:szCs w:val="24"/>
        </w:rPr>
        <w:t xml:space="preserve"> volume di infusione ridotto in combinazione </w:t>
      </w:r>
      <w:r w:rsidR="00D02630" w:rsidRPr="00087C1C">
        <w:rPr>
          <w:rFonts w:cs="Arial"/>
          <w:bCs/>
          <w:sz w:val="24"/>
          <w:szCs w:val="24"/>
        </w:rPr>
        <w:t xml:space="preserve">con </w:t>
      </w:r>
      <w:r w:rsidR="00CC569F" w:rsidRPr="00087C1C">
        <w:rPr>
          <w:rFonts w:cs="Arial"/>
          <w:bCs/>
          <w:sz w:val="24"/>
          <w:szCs w:val="24"/>
        </w:rPr>
        <w:t>una aumentata velocità di infusione</w:t>
      </w:r>
      <w:r w:rsidR="00B367AF" w:rsidRPr="00087C1C">
        <w:rPr>
          <w:rFonts w:cs="Arial"/>
          <w:bCs/>
          <w:sz w:val="24"/>
          <w:szCs w:val="24"/>
        </w:rPr>
        <w:t>.</w:t>
      </w:r>
    </w:p>
    <w:p w14:paraId="5EF12C48" w14:textId="77777777" w:rsidR="00B367AF" w:rsidRDefault="00B367AF" w:rsidP="003C20C3">
      <w:pPr>
        <w:spacing w:after="0" w:line="240" w:lineRule="auto"/>
        <w:jc w:val="both"/>
        <w:rPr>
          <w:rFonts w:cs="Arial"/>
          <w:bCs/>
          <w:sz w:val="24"/>
          <w:szCs w:val="24"/>
        </w:rPr>
      </w:pPr>
    </w:p>
    <w:p w14:paraId="653CA9E2" w14:textId="77777777" w:rsidR="00F400B9" w:rsidRDefault="00F400B9" w:rsidP="003C20C3">
      <w:pPr>
        <w:spacing w:after="0" w:line="240" w:lineRule="auto"/>
        <w:jc w:val="both"/>
        <w:rPr>
          <w:rFonts w:cs="Arial"/>
          <w:bCs/>
          <w:sz w:val="24"/>
          <w:szCs w:val="24"/>
        </w:rPr>
      </w:pPr>
      <w:r w:rsidRPr="00F400B9">
        <w:rPr>
          <w:rFonts w:cs="Arial"/>
          <w:bCs/>
          <w:sz w:val="24"/>
          <w:szCs w:val="24"/>
        </w:rPr>
        <w:t>Le Officine coinvolte nella produzione del medicinale sono conformi alle linee guida di Buona Pratica di Fabbricazione (Good Manufacturing Practice - GMP). Le autorità regolatore competenti hanno rilasciato i certificati GMP per i siti di produzione sul territorio dell’Unione Europea.</w:t>
      </w:r>
    </w:p>
    <w:p w14:paraId="634E3A3C" w14:textId="77777777" w:rsidR="00F400B9" w:rsidRDefault="00F400B9" w:rsidP="003C20C3">
      <w:pPr>
        <w:spacing w:after="0" w:line="240" w:lineRule="auto"/>
        <w:jc w:val="both"/>
        <w:rPr>
          <w:rFonts w:cs="Arial"/>
          <w:bCs/>
          <w:sz w:val="24"/>
          <w:szCs w:val="24"/>
        </w:rPr>
      </w:pPr>
    </w:p>
    <w:p w14:paraId="4B1D08A8" w14:textId="4375A5B1" w:rsidR="00F400B9" w:rsidRDefault="00F400B9" w:rsidP="003C20C3">
      <w:pPr>
        <w:spacing w:after="0" w:line="240" w:lineRule="auto"/>
        <w:jc w:val="both"/>
        <w:rPr>
          <w:rFonts w:cs="Arial"/>
          <w:bCs/>
          <w:sz w:val="24"/>
          <w:szCs w:val="24"/>
        </w:rPr>
      </w:pPr>
      <w:r w:rsidRPr="00F400B9">
        <w:rPr>
          <w:rFonts w:cs="Arial"/>
          <w:bCs/>
          <w:sz w:val="24"/>
          <w:szCs w:val="24"/>
        </w:rPr>
        <w:lastRenderedPageBreak/>
        <w:t xml:space="preserve">Il sistema di Farmacovigilanza descritto dal titolare dell’AIC è conforme ai requisiti previsti dalla normativa corrente. </w:t>
      </w:r>
      <w:r w:rsidR="00626757" w:rsidRPr="00F400B9">
        <w:rPr>
          <w:rFonts w:cs="Arial"/>
          <w:bCs/>
          <w:sz w:val="24"/>
          <w:szCs w:val="24"/>
        </w:rPr>
        <w:t>È</w:t>
      </w:r>
      <w:r w:rsidRPr="00F400B9">
        <w:rPr>
          <w:rFonts w:cs="Arial"/>
          <w:bCs/>
          <w:sz w:val="24"/>
          <w:szCs w:val="24"/>
        </w:rPr>
        <w:t xml:space="preserve"> stato presentato un Piano di gestione del rischio (Risk Management Plan – RMP) accettabile.</w:t>
      </w:r>
    </w:p>
    <w:p w14:paraId="33E1EE59" w14:textId="77777777" w:rsidR="00272454" w:rsidRDefault="00272454" w:rsidP="003C20C3">
      <w:pPr>
        <w:spacing w:after="0" w:line="240" w:lineRule="auto"/>
        <w:jc w:val="both"/>
        <w:rPr>
          <w:rFonts w:cs="Arial"/>
          <w:bCs/>
          <w:sz w:val="24"/>
          <w:szCs w:val="24"/>
        </w:rPr>
      </w:pPr>
    </w:p>
    <w:p w14:paraId="7D819396" w14:textId="13626287" w:rsidR="00272454" w:rsidRDefault="00626757" w:rsidP="003C20C3">
      <w:pPr>
        <w:spacing w:after="0" w:line="240" w:lineRule="auto"/>
        <w:jc w:val="both"/>
        <w:rPr>
          <w:rFonts w:cs="Arial"/>
          <w:bCs/>
          <w:sz w:val="24"/>
          <w:szCs w:val="24"/>
        </w:rPr>
      </w:pPr>
      <w:r w:rsidRPr="00272454">
        <w:rPr>
          <w:rFonts w:cs="Arial"/>
          <w:bCs/>
          <w:sz w:val="24"/>
          <w:szCs w:val="24"/>
        </w:rPr>
        <w:t>È</w:t>
      </w:r>
      <w:r w:rsidR="00272454" w:rsidRPr="00272454">
        <w:rPr>
          <w:rFonts w:cs="Arial"/>
          <w:bCs/>
          <w:sz w:val="24"/>
          <w:szCs w:val="24"/>
        </w:rPr>
        <w:t xml:space="preserve"> stata presentata una Risk Evaluation (RE) per la presenza di nitrosammine con esito negativo (no risk).</w:t>
      </w:r>
    </w:p>
    <w:p w14:paraId="6F07D7BA" w14:textId="77777777" w:rsidR="00432D9D" w:rsidRDefault="00432D9D" w:rsidP="003C20C3">
      <w:pPr>
        <w:spacing w:after="0" w:line="240" w:lineRule="auto"/>
        <w:jc w:val="both"/>
        <w:rPr>
          <w:rFonts w:cs="Arial"/>
          <w:bCs/>
          <w:sz w:val="24"/>
          <w:szCs w:val="24"/>
        </w:rPr>
      </w:pPr>
    </w:p>
    <w:p w14:paraId="1AEBECB0" w14:textId="77777777" w:rsidR="00C00BEA" w:rsidRPr="00161AFF" w:rsidRDefault="00F400B9" w:rsidP="00655986">
      <w:pPr>
        <w:spacing w:after="0" w:line="240" w:lineRule="auto"/>
        <w:jc w:val="both"/>
        <w:rPr>
          <w:rFonts w:cs="Arial"/>
          <w:bCs/>
          <w:sz w:val="24"/>
          <w:szCs w:val="24"/>
        </w:rPr>
      </w:pPr>
      <w:r w:rsidRPr="00F400B9">
        <w:rPr>
          <w:rFonts w:cs="Arial"/>
          <w:bCs/>
          <w:sz w:val="24"/>
          <w:szCs w:val="24"/>
        </w:rPr>
        <w:t xml:space="preserve">Il titolare di AIC ha presentato una adeguata giustificazione </w:t>
      </w:r>
      <w:r>
        <w:rPr>
          <w:rFonts w:cs="Arial"/>
          <w:bCs/>
          <w:sz w:val="24"/>
          <w:szCs w:val="24"/>
        </w:rPr>
        <w:t>riguardo la</w:t>
      </w:r>
      <w:r w:rsidRPr="00F400B9">
        <w:rPr>
          <w:rFonts w:cs="Arial"/>
          <w:bCs/>
          <w:sz w:val="24"/>
          <w:szCs w:val="24"/>
        </w:rPr>
        <w:t xml:space="preserve"> non presentazione della Valutazione del Rischio ambientale</w:t>
      </w:r>
      <w:r>
        <w:rPr>
          <w:rFonts w:cs="Arial"/>
          <w:bCs/>
          <w:sz w:val="24"/>
          <w:szCs w:val="24"/>
        </w:rPr>
        <w:t xml:space="preserve"> (ERA)</w:t>
      </w:r>
      <w:r w:rsidRPr="00F400B9">
        <w:rPr>
          <w:rFonts w:cs="Arial"/>
          <w:bCs/>
          <w:sz w:val="24"/>
          <w:szCs w:val="24"/>
        </w:rPr>
        <w:t xml:space="preserve">; questo approccio è accettabile in quanto </w:t>
      </w:r>
      <w:r w:rsidR="00C977E1">
        <w:rPr>
          <w:rFonts w:cs="Arial"/>
          <w:bCs/>
          <w:sz w:val="24"/>
          <w:szCs w:val="24"/>
        </w:rPr>
        <w:t>FEIBA</w:t>
      </w:r>
      <w:r>
        <w:rPr>
          <w:rFonts w:cs="Arial"/>
          <w:bCs/>
          <w:sz w:val="24"/>
          <w:szCs w:val="24"/>
        </w:rPr>
        <w:t>, 100 UF/mL, polvere e solvente per soluzione per infusione,</w:t>
      </w:r>
      <w:r w:rsidRPr="00F400B9">
        <w:rPr>
          <w:rFonts w:cs="Arial"/>
          <w:bCs/>
          <w:sz w:val="24"/>
          <w:szCs w:val="24"/>
        </w:rPr>
        <w:t xml:space="preserve"> contiene un principio attivo noto presente in medicinali autorizzati</w:t>
      </w:r>
      <w:r>
        <w:rPr>
          <w:rFonts w:cs="Arial"/>
          <w:bCs/>
          <w:sz w:val="24"/>
          <w:szCs w:val="24"/>
        </w:rPr>
        <w:t xml:space="preserve"> </w:t>
      </w:r>
      <w:r w:rsidR="00FB58E4">
        <w:rPr>
          <w:rFonts w:cs="Arial"/>
          <w:bCs/>
          <w:sz w:val="24"/>
          <w:szCs w:val="24"/>
        </w:rPr>
        <w:t xml:space="preserve">e inoltre </w:t>
      </w:r>
      <w:r w:rsidRPr="00F400B9">
        <w:rPr>
          <w:rFonts w:cs="Arial"/>
          <w:bCs/>
          <w:sz w:val="24"/>
          <w:szCs w:val="24"/>
        </w:rPr>
        <w:t>contiene proteine naturali che non si prevede comportino un rischio per l’ambiente</w:t>
      </w:r>
      <w:r>
        <w:rPr>
          <w:rFonts w:cs="Arial"/>
          <w:bCs/>
          <w:sz w:val="24"/>
          <w:szCs w:val="24"/>
        </w:rPr>
        <w:t xml:space="preserve"> in conformità alla Line</w:t>
      </w:r>
      <w:r w:rsidR="007920F7">
        <w:rPr>
          <w:rFonts w:cs="Arial"/>
          <w:bCs/>
          <w:sz w:val="24"/>
          <w:szCs w:val="24"/>
        </w:rPr>
        <w:t>a</w:t>
      </w:r>
      <w:r>
        <w:rPr>
          <w:rFonts w:cs="Arial"/>
          <w:bCs/>
          <w:sz w:val="24"/>
          <w:szCs w:val="24"/>
        </w:rPr>
        <w:t xml:space="preserve"> guida in vigore</w:t>
      </w:r>
      <w:r w:rsidRPr="00F400B9">
        <w:rPr>
          <w:rFonts w:cs="Arial"/>
          <w:bCs/>
          <w:sz w:val="24"/>
          <w:szCs w:val="24"/>
        </w:rPr>
        <w:t>; non sono presenti componenti geneticamente modificati; il metodo di produzione e la formulazione del medicinale non presentano problematiche di carattere ambientale.</w:t>
      </w:r>
    </w:p>
    <w:p w14:paraId="67E3E7FD" w14:textId="77777777" w:rsidR="004E5A39" w:rsidRPr="00FF13D1" w:rsidRDefault="004E5A39" w:rsidP="00EF6711">
      <w:pPr>
        <w:spacing w:after="0" w:line="240" w:lineRule="auto"/>
        <w:jc w:val="both"/>
        <w:rPr>
          <w:sz w:val="24"/>
          <w:szCs w:val="24"/>
        </w:rPr>
      </w:pPr>
    </w:p>
    <w:p w14:paraId="2D47BCC3" w14:textId="77777777" w:rsidR="004E5A39" w:rsidRDefault="004E5A39" w:rsidP="00EF6711">
      <w:pPr>
        <w:pStyle w:val="Paragrafoelenco"/>
        <w:numPr>
          <w:ilvl w:val="0"/>
          <w:numId w:val="2"/>
        </w:numPr>
        <w:spacing w:after="0" w:line="240" w:lineRule="auto"/>
        <w:jc w:val="both"/>
        <w:rPr>
          <w:b/>
          <w:sz w:val="24"/>
          <w:szCs w:val="24"/>
        </w:rPr>
      </w:pPr>
      <w:r w:rsidRPr="00FF13D1">
        <w:rPr>
          <w:b/>
          <w:sz w:val="24"/>
          <w:szCs w:val="24"/>
        </w:rPr>
        <w:t>ASPETTI DI QUALITA’</w:t>
      </w:r>
    </w:p>
    <w:p w14:paraId="3421553D" w14:textId="77777777" w:rsidR="00272454" w:rsidRDefault="00272454" w:rsidP="00272454">
      <w:pPr>
        <w:pStyle w:val="Paragrafoelenco"/>
        <w:spacing w:after="0" w:line="240" w:lineRule="auto"/>
        <w:ind w:left="1800"/>
        <w:jc w:val="both"/>
        <w:rPr>
          <w:b/>
          <w:sz w:val="24"/>
          <w:szCs w:val="24"/>
        </w:rPr>
      </w:pPr>
    </w:p>
    <w:p w14:paraId="7DCFDB2D" w14:textId="77777777" w:rsidR="00272454" w:rsidRPr="00272454" w:rsidRDefault="00272454" w:rsidP="00272454">
      <w:pPr>
        <w:spacing w:after="0" w:line="240" w:lineRule="auto"/>
        <w:ind w:firstLine="708"/>
        <w:jc w:val="both"/>
        <w:rPr>
          <w:b/>
          <w:sz w:val="24"/>
          <w:szCs w:val="24"/>
        </w:rPr>
      </w:pPr>
      <w:r>
        <w:rPr>
          <w:b/>
          <w:sz w:val="24"/>
          <w:szCs w:val="24"/>
        </w:rPr>
        <w:t>II.1 PRINCIPIO ATTIVO</w:t>
      </w:r>
    </w:p>
    <w:p w14:paraId="2A183B45" w14:textId="77777777" w:rsidR="00734891" w:rsidRDefault="00734891" w:rsidP="00265B61">
      <w:pPr>
        <w:spacing w:after="0" w:line="240" w:lineRule="auto"/>
        <w:jc w:val="both"/>
        <w:rPr>
          <w:highlight w:val="yellow"/>
        </w:rPr>
      </w:pPr>
    </w:p>
    <w:p w14:paraId="7EA68B85" w14:textId="1F853EB0" w:rsidR="00597E26" w:rsidRDefault="00597E26" w:rsidP="00734891">
      <w:pPr>
        <w:spacing w:after="0" w:line="240" w:lineRule="auto"/>
        <w:jc w:val="both"/>
        <w:rPr>
          <w:sz w:val="24"/>
          <w:szCs w:val="24"/>
        </w:rPr>
      </w:pPr>
      <w:r w:rsidRPr="00FF13D1">
        <w:rPr>
          <w:sz w:val="24"/>
          <w:szCs w:val="24"/>
        </w:rPr>
        <w:t>La specialità medicinale FEIBA è un</w:t>
      </w:r>
      <w:r w:rsidR="00734891" w:rsidRPr="00FF13D1">
        <w:rPr>
          <w:sz w:val="24"/>
          <w:szCs w:val="24"/>
        </w:rPr>
        <w:t xml:space="preserve"> </w:t>
      </w:r>
      <w:r w:rsidR="009228EC">
        <w:rPr>
          <w:sz w:val="24"/>
          <w:szCs w:val="24"/>
        </w:rPr>
        <w:t xml:space="preserve">concentrato del </w:t>
      </w:r>
      <w:r w:rsidR="00734891" w:rsidRPr="00FF13D1">
        <w:rPr>
          <w:sz w:val="24"/>
          <w:szCs w:val="24"/>
        </w:rPr>
        <w:t>co</w:t>
      </w:r>
      <w:r w:rsidRPr="00FF13D1">
        <w:rPr>
          <w:sz w:val="24"/>
          <w:szCs w:val="24"/>
        </w:rPr>
        <w:t xml:space="preserve">mplesso protrombinico attivato che </w:t>
      </w:r>
      <w:r w:rsidR="0006492A" w:rsidRPr="00FF13D1">
        <w:rPr>
          <w:sz w:val="24"/>
          <w:szCs w:val="24"/>
        </w:rPr>
        <w:t>n</w:t>
      </w:r>
      <w:r w:rsidR="00734891" w:rsidRPr="00FF13D1">
        <w:rPr>
          <w:sz w:val="24"/>
          <w:szCs w:val="24"/>
        </w:rPr>
        <w:t>on è descritto nella Farmacopea Europea.</w:t>
      </w:r>
      <w:r w:rsidRPr="00FF13D1">
        <w:rPr>
          <w:sz w:val="24"/>
          <w:szCs w:val="24"/>
        </w:rPr>
        <w:t xml:space="preserve"> </w:t>
      </w:r>
      <w:r w:rsidR="00626757" w:rsidRPr="00FF13D1">
        <w:rPr>
          <w:sz w:val="24"/>
          <w:szCs w:val="24"/>
        </w:rPr>
        <w:t>È</w:t>
      </w:r>
      <w:r w:rsidR="005533EB" w:rsidRPr="00FF13D1">
        <w:rPr>
          <w:sz w:val="24"/>
          <w:szCs w:val="24"/>
        </w:rPr>
        <w:t xml:space="preserve"> </w:t>
      </w:r>
      <w:r w:rsidRPr="00FF13D1">
        <w:rPr>
          <w:sz w:val="24"/>
          <w:szCs w:val="24"/>
        </w:rPr>
        <w:t xml:space="preserve">prodotto da Plasma Umano e contiene i Fattori della Coagulazione II, IX e X </w:t>
      </w:r>
      <w:r w:rsidR="009228EC">
        <w:rPr>
          <w:sz w:val="24"/>
          <w:szCs w:val="24"/>
        </w:rPr>
        <w:t>principalmente i</w:t>
      </w:r>
      <w:r w:rsidRPr="00FF13D1">
        <w:rPr>
          <w:sz w:val="24"/>
          <w:szCs w:val="24"/>
        </w:rPr>
        <w:t>n forma non attivata, nonché il Fattore</w:t>
      </w:r>
      <w:r w:rsidR="009228EC">
        <w:rPr>
          <w:sz w:val="24"/>
          <w:szCs w:val="24"/>
        </w:rPr>
        <w:t xml:space="preserve"> VII e il Fattore VII attivato, in aggiunta è presente il Fattore VIII (antiemofilico) antigene coagulante (FVIII C:</w:t>
      </w:r>
      <w:r w:rsidR="00C25329">
        <w:rPr>
          <w:sz w:val="24"/>
          <w:szCs w:val="24"/>
        </w:rPr>
        <w:t xml:space="preserve"> </w:t>
      </w:r>
      <w:r w:rsidR="009228EC">
        <w:rPr>
          <w:sz w:val="24"/>
          <w:szCs w:val="24"/>
        </w:rPr>
        <w:t>Ag) ad un</w:t>
      </w:r>
      <w:r w:rsidR="00E86E11">
        <w:rPr>
          <w:sz w:val="24"/>
          <w:szCs w:val="24"/>
        </w:rPr>
        <w:t>a concentrazione fino a 0,1 U/</w:t>
      </w:r>
      <w:proofErr w:type="spellStart"/>
      <w:r w:rsidR="00E86E11">
        <w:rPr>
          <w:sz w:val="24"/>
          <w:szCs w:val="24"/>
        </w:rPr>
        <w:t>l</w:t>
      </w:r>
      <w:r w:rsidR="009228EC">
        <w:rPr>
          <w:sz w:val="24"/>
          <w:szCs w:val="24"/>
        </w:rPr>
        <w:t>U</w:t>
      </w:r>
      <w:proofErr w:type="spellEnd"/>
      <w:r w:rsidR="009228EC">
        <w:rPr>
          <w:sz w:val="24"/>
          <w:szCs w:val="24"/>
        </w:rPr>
        <w:t xml:space="preserve"> FEIBA. Fattori del sistema della callicreina-chinina sono presenti solo in tracce. </w:t>
      </w:r>
    </w:p>
    <w:p w14:paraId="56437C21" w14:textId="00FE6E07" w:rsidR="009228EC" w:rsidRDefault="009228EC" w:rsidP="009228EC">
      <w:pPr>
        <w:spacing w:after="0" w:line="240" w:lineRule="auto"/>
        <w:jc w:val="both"/>
        <w:rPr>
          <w:sz w:val="24"/>
          <w:szCs w:val="24"/>
        </w:rPr>
      </w:pPr>
      <w:r>
        <w:rPr>
          <w:sz w:val="24"/>
          <w:szCs w:val="24"/>
        </w:rPr>
        <w:t xml:space="preserve">L’attività biologica di </w:t>
      </w:r>
      <w:r w:rsidR="00C977E1">
        <w:rPr>
          <w:sz w:val="24"/>
          <w:szCs w:val="24"/>
        </w:rPr>
        <w:t>FEIBA</w:t>
      </w:r>
      <w:r>
        <w:rPr>
          <w:sz w:val="24"/>
          <w:szCs w:val="24"/>
        </w:rPr>
        <w:t xml:space="preserve"> è determinata</w:t>
      </w:r>
      <w:r w:rsidRPr="009228EC">
        <w:rPr>
          <w:sz w:val="24"/>
          <w:szCs w:val="24"/>
        </w:rPr>
        <w:t xml:space="preserve"> mediante un test d</w:t>
      </w:r>
      <w:r w:rsidR="00F71675">
        <w:rPr>
          <w:sz w:val="24"/>
          <w:szCs w:val="24"/>
        </w:rPr>
        <w:t xml:space="preserve">i coagulazione a stadio singolo </w:t>
      </w:r>
      <w:r w:rsidRPr="009228EC">
        <w:rPr>
          <w:sz w:val="24"/>
          <w:szCs w:val="24"/>
        </w:rPr>
        <w:t xml:space="preserve">eseguito su plasma contenente anticorpi inibitori contro il Fattore VIII. Pertanto, l'attività di bypass dell'inibitore </w:t>
      </w:r>
      <w:r w:rsidRPr="00087C1C">
        <w:rPr>
          <w:sz w:val="24"/>
          <w:szCs w:val="24"/>
        </w:rPr>
        <w:t>del Fattore VIII (F</w:t>
      </w:r>
      <w:r w:rsidR="00626757" w:rsidRPr="00087C1C">
        <w:rPr>
          <w:sz w:val="24"/>
          <w:szCs w:val="24"/>
        </w:rPr>
        <w:t>VIII</w:t>
      </w:r>
      <w:r w:rsidRPr="00087C1C">
        <w:rPr>
          <w:sz w:val="24"/>
          <w:szCs w:val="24"/>
        </w:rPr>
        <w:t>) rientra in un interval</w:t>
      </w:r>
      <w:r w:rsidR="00F71675" w:rsidRPr="00087C1C">
        <w:rPr>
          <w:sz w:val="24"/>
          <w:szCs w:val="24"/>
        </w:rPr>
        <w:t xml:space="preserve">lo definito che è proporzionale </w:t>
      </w:r>
      <w:r w:rsidRPr="00087C1C">
        <w:rPr>
          <w:sz w:val="24"/>
          <w:szCs w:val="24"/>
        </w:rPr>
        <w:t>all'accorciamento del</w:t>
      </w:r>
      <w:r w:rsidRPr="009228EC">
        <w:rPr>
          <w:sz w:val="24"/>
          <w:szCs w:val="24"/>
        </w:rPr>
        <w:t xml:space="preserve"> tempo di tromboplastina parziale attivata del plasma con inibitore del Fattore VIII.</w:t>
      </w:r>
    </w:p>
    <w:p w14:paraId="75FDDFEB" w14:textId="77777777" w:rsidR="00F71675" w:rsidRDefault="00F71675" w:rsidP="009228EC">
      <w:pPr>
        <w:spacing w:after="0" w:line="240" w:lineRule="auto"/>
        <w:jc w:val="both"/>
        <w:rPr>
          <w:sz w:val="24"/>
          <w:szCs w:val="24"/>
        </w:rPr>
      </w:pPr>
    </w:p>
    <w:p w14:paraId="278423B9" w14:textId="77777777" w:rsidR="00BB3568" w:rsidRDefault="002A542B" w:rsidP="0006492A">
      <w:pPr>
        <w:spacing w:after="0" w:line="240" w:lineRule="auto"/>
        <w:jc w:val="both"/>
        <w:rPr>
          <w:rFonts w:cs="Arial"/>
          <w:bCs/>
          <w:sz w:val="24"/>
          <w:szCs w:val="24"/>
        </w:rPr>
      </w:pPr>
      <w:r>
        <w:rPr>
          <w:rFonts w:cs="Arial"/>
          <w:bCs/>
          <w:sz w:val="24"/>
          <w:szCs w:val="24"/>
        </w:rPr>
        <w:t xml:space="preserve">Dal momento che la procedura in oggetto è stata presentata come </w:t>
      </w:r>
      <w:r w:rsidRPr="00432D9D">
        <w:rPr>
          <w:rFonts w:cs="Arial"/>
          <w:bCs/>
          <w:i/>
          <w:sz w:val="24"/>
          <w:szCs w:val="24"/>
        </w:rPr>
        <w:t>line extension</w:t>
      </w:r>
      <w:r>
        <w:rPr>
          <w:rFonts w:cs="Arial"/>
          <w:bCs/>
          <w:sz w:val="24"/>
          <w:szCs w:val="24"/>
        </w:rPr>
        <w:t xml:space="preserve"> del medicinale autorizzato </w:t>
      </w:r>
      <w:r w:rsidR="00C977E1">
        <w:rPr>
          <w:rFonts w:cs="Arial"/>
          <w:bCs/>
          <w:sz w:val="24"/>
          <w:szCs w:val="24"/>
        </w:rPr>
        <w:t>FEIBA</w:t>
      </w:r>
      <w:r>
        <w:rPr>
          <w:rFonts w:cs="Arial"/>
          <w:bCs/>
          <w:sz w:val="24"/>
          <w:szCs w:val="24"/>
        </w:rPr>
        <w:t xml:space="preserve">, 50 UF/mL, polvere e solvente per soluzione per infusione, </w:t>
      </w:r>
      <w:r w:rsidR="00432D9D">
        <w:rPr>
          <w:rFonts w:cs="Arial"/>
          <w:bCs/>
          <w:sz w:val="24"/>
          <w:szCs w:val="24"/>
        </w:rPr>
        <w:t xml:space="preserve">le sezioni </w:t>
      </w:r>
      <w:r w:rsidR="00BB3568">
        <w:rPr>
          <w:rFonts w:cs="Arial"/>
          <w:bCs/>
          <w:sz w:val="24"/>
          <w:szCs w:val="24"/>
        </w:rPr>
        <w:t xml:space="preserve">del Dossier del medicinale </w:t>
      </w:r>
      <w:r w:rsidR="00432D9D">
        <w:rPr>
          <w:rFonts w:cs="Arial"/>
          <w:bCs/>
          <w:sz w:val="24"/>
          <w:szCs w:val="24"/>
        </w:rPr>
        <w:t xml:space="preserve">relative alla produzione dei principi attivi non sono state nuovamente oggetto di valutazione nella presente </w:t>
      </w:r>
      <w:r w:rsidR="00432D9D" w:rsidRPr="00BB0974">
        <w:rPr>
          <w:rFonts w:cs="Arial"/>
          <w:bCs/>
          <w:i/>
          <w:sz w:val="24"/>
          <w:szCs w:val="24"/>
        </w:rPr>
        <w:t>line extension</w:t>
      </w:r>
      <w:r w:rsidR="00432D9D">
        <w:rPr>
          <w:rFonts w:cs="Arial"/>
          <w:bCs/>
          <w:sz w:val="24"/>
          <w:szCs w:val="24"/>
        </w:rPr>
        <w:t xml:space="preserve"> in quanto già valutate ed autorizzate nell’ambito dell’iter autorizzativo e post autorizzativo del medicinale </w:t>
      </w:r>
      <w:r w:rsidR="00C977E1">
        <w:rPr>
          <w:rFonts w:cs="Arial"/>
          <w:bCs/>
          <w:sz w:val="24"/>
          <w:szCs w:val="24"/>
        </w:rPr>
        <w:t>FEIBA</w:t>
      </w:r>
      <w:r w:rsidR="00432D9D">
        <w:rPr>
          <w:rFonts w:cs="Arial"/>
          <w:bCs/>
          <w:sz w:val="24"/>
          <w:szCs w:val="24"/>
        </w:rPr>
        <w:t xml:space="preserve">, 50 UF/mL, polvere e solvente per soluzione per infusione. </w:t>
      </w:r>
    </w:p>
    <w:p w14:paraId="135B32AC" w14:textId="77777777" w:rsidR="00C25329" w:rsidRPr="00FF13D1" w:rsidRDefault="00C25329" w:rsidP="0006492A">
      <w:pPr>
        <w:spacing w:after="0" w:line="240" w:lineRule="auto"/>
        <w:jc w:val="both"/>
        <w:rPr>
          <w:sz w:val="24"/>
          <w:szCs w:val="24"/>
        </w:rPr>
      </w:pPr>
    </w:p>
    <w:p w14:paraId="2CB3A862" w14:textId="77777777" w:rsidR="000A1723" w:rsidRPr="00FF13D1" w:rsidRDefault="004E5A39" w:rsidP="00A76244">
      <w:pPr>
        <w:spacing w:after="0" w:line="240" w:lineRule="auto"/>
        <w:ind w:firstLine="708"/>
        <w:jc w:val="both"/>
        <w:rPr>
          <w:b/>
          <w:sz w:val="24"/>
          <w:szCs w:val="24"/>
        </w:rPr>
      </w:pPr>
      <w:r w:rsidRPr="00FF13D1">
        <w:rPr>
          <w:b/>
          <w:sz w:val="24"/>
          <w:szCs w:val="24"/>
        </w:rPr>
        <w:t>II.2 PRODOTTO FINITO</w:t>
      </w:r>
    </w:p>
    <w:p w14:paraId="034F7E6A" w14:textId="77777777" w:rsidR="00D70ACC" w:rsidRDefault="00D70ACC" w:rsidP="00EF6711">
      <w:pPr>
        <w:spacing w:after="0" w:line="240" w:lineRule="auto"/>
        <w:jc w:val="both"/>
        <w:rPr>
          <w:b/>
          <w:sz w:val="24"/>
          <w:szCs w:val="24"/>
        </w:rPr>
      </w:pPr>
    </w:p>
    <w:p w14:paraId="1BB14E93" w14:textId="77777777" w:rsidR="004E5A39" w:rsidRDefault="004E5A39" w:rsidP="00EF6711">
      <w:pPr>
        <w:spacing w:after="0" w:line="240" w:lineRule="auto"/>
        <w:jc w:val="both"/>
        <w:rPr>
          <w:b/>
          <w:sz w:val="24"/>
          <w:szCs w:val="24"/>
        </w:rPr>
      </w:pPr>
      <w:r w:rsidRPr="00FF13D1">
        <w:rPr>
          <w:b/>
          <w:sz w:val="24"/>
          <w:szCs w:val="24"/>
        </w:rPr>
        <w:t>Descrizione e composizione</w:t>
      </w:r>
    </w:p>
    <w:p w14:paraId="7C201B5E" w14:textId="77777777" w:rsidR="004A4351" w:rsidRDefault="00517378" w:rsidP="00517378">
      <w:pPr>
        <w:widowControl w:val="0"/>
        <w:spacing w:after="0" w:line="240" w:lineRule="auto"/>
        <w:jc w:val="both"/>
      </w:pPr>
      <w:r w:rsidRPr="006020F1">
        <w:rPr>
          <w:rFonts w:eastAsia="Calibri" w:cs="Calibri"/>
          <w:color w:val="000000"/>
          <w:sz w:val="24"/>
          <w:szCs w:val="24"/>
          <w:lang w:eastAsia="it-IT"/>
        </w:rPr>
        <w:t xml:space="preserve">FEIBA, </w:t>
      </w:r>
      <w:r w:rsidR="004A4351">
        <w:rPr>
          <w:rFonts w:eastAsia="Calibri" w:cs="Calibri"/>
          <w:color w:val="000000"/>
          <w:sz w:val="24"/>
          <w:szCs w:val="24"/>
          <w:lang w:eastAsia="it-IT"/>
        </w:rPr>
        <w:t xml:space="preserve">100 UF/mL, </w:t>
      </w:r>
      <w:r>
        <w:rPr>
          <w:rFonts w:eastAsia="Calibri" w:cs="Calibri"/>
          <w:color w:val="000000"/>
          <w:sz w:val="24"/>
          <w:szCs w:val="24"/>
          <w:lang w:eastAsia="it-IT"/>
        </w:rPr>
        <w:t xml:space="preserve">è disponibile in </w:t>
      </w:r>
      <w:r w:rsidRPr="006020F1">
        <w:rPr>
          <w:rFonts w:eastAsia="Calibri" w:cs="Calibri"/>
          <w:color w:val="000000"/>
          <w:sz w:val="24"/>
          <w:szCs w:val="24"/>
          <w:lang w:eastAsia="it-IT"/>
        </w:rPr>
        <w:t>polvere e solve</w:t>
      </w:r>
      <w:r w:rsidR="00A76244">
        <w:rPr>
          <w:rFonts w:eastAsia="Calibri" w:cs="Calibri"/>
          <w:color w:val="000000"/>
          <w:sz w:val="24"/>
          <w:szCs w:val="24"/>
          <w:lang w:eastAsia="it-IT"/>
        </w:rPr>
        <w:t>nte per soluzione per infusione.</w:t>
      </w:r>
    </w:p>
    <w:p w14:paraId="76C6DE4E" w14:textId="77777777" w:rsidR="00517378" w:rsidRPr="004A4351" w:rsidRDefault="004A4351" w:rsidP="00517378">
      <w:pPr>
        <w:widowControl w:val="0"/>
        <w:spacing w:after="0" w:line="240" w:lineRule="auto"/>
        <w:jc w:val="both"/>
        <w:rPr>
          <w:rFonts w:eastAsia="Calibri" w:cs="Calibri"/>
          <w:color w:val="000000"/>
          <w:sz w:val="24"/>
          <w:szCs w:val="24"/>
          <w:lang w:eastAsia="it-IT"/>
        </w:rPr>
      </w:pPr>
      <w:r w:rsidRPr="004A4351">
        <w:rPr>
          <w:rFonts w:eastAsia="Calibri" w:cs="Calibri"/>
          <w:color w:val="000000"/>
          <w:sz w:val="24"/>
          <w:szCs w:val="24"/>
          <w:lang w:eastAsia="it-IT"/>
        </w:rPr>
        <w:t>Ogni</w:t>
      </w:r>
      <w:r w:rsidR="00EC766C">
        <w:rPr>
          <w:rFonts w:eastAsia="Calibri" w:cs="Calibri"/>
          <w:color w:val="000000"/>
          <w:sz w:val="24"/>
          <w:szCs w:val="24"/>
          <w:lang w:eastAsia="it-IT"/>
        </w:rPr>
        <w:t xml:space="preserve"> confezione comprende un flaconcino</w:t>
      </w:r>
      <w:r w:rsidRPr="004A4351">
        <w:rPr>
          <w:rFonts w:eastAsia="Calibri" w:cs="Calibri"/>
          <w:color w:val="000000"/>
          <w:sz w:val="24"/>
          <w:szCs w:val="24"/>
          <w:lang w:eastAsia="it-IT"/>
        </w:rPr>
        <w:t xml:space="preserve"> con la polvere, un flaconcino con il solvente ed i dispositivi necessari per la ricostituzione e </w:t>
      </w:r>
      <w:r w:rsidR="00D068BE">
        <w:rPr>
          <w:rFonts w:eastAsia="Calibri" w:cs="Calibri"/>
          <w:color w:val="000000"/>
          <w:sz w:val="24"/>
          <w:szCs w:val="24"/>
          <w:lang w:eastAsia="it-IT"/>
        </w:rPr>
        <w:t xml:space="preserve">la </w:t>
      </w:r>
      <w:r w:rsidRPr="004A4351">
        <w:rPr>
          <w:rFonts w:eastAsia="Calibri" w:cs="Calibri"/>
          <w:color w:val="000000"/>
          <w:sz w:val="24"/>
          <w:szCs w:val="24"/>
          <w:lang w:eastAsia="it-IT"/>
        </w:rPr>
        <w:t>somministrazione.</w:t>
      </w:r>
    </w:p>
    <w:p w14:paraId="464B4B99" w14:textId="77777777" w:rsidR="00517378" w:rsidRPr="00517378" w:rsidRDefault="00C56597" w:rsidP="00C56597">
      <w:pPr>
        <w:spacing w:after="0" w:line="240" w:lineRule="auto"/>
        <w:jc w:val="both"/>
        <w:rPr>
          <w:sz w:val="24"/>
          <w:szCs w:val="24"/>
        </w:rPr>
      </w:pPr>
      <w:r w:rsidRPr="00517378">
        <w:rPr>
          <w:sz w:val="24"/>
          <w:szCs w:val="24"/>
        </w:rPr>
        <w:t>FEIBA</w:t>
      </w:r>
      <w:r w:rsidR="00C801F1" w:rsidRPr="00517378">
        <w:rPr>
          <w:sz w:val="24"/>
          <w:szCs w:val="24"/>
        </w:rPr>
        <w:t>,</w:t>
      </w:r>
      <w:r w:rsidRPr="00517378">
        <w:rPr>
          <w:sz w:val="24"/>
          <w:szCs w:val="24"/>
        </w:rPr>
        <w:t xml:space="preserve"> </w:t>
      </w:r>
      <w:r w:rsidR="002E2DB1" w:rsidRPr="00517378">
        <w:rPr>
          <w:sz w:val="24"/>
          <w:szCs w:val="24"/>
        </w:rPr>
        <w:t>100 UF/</w:t>
      </w:r>
      <w:r w:rsidR="00C801F1" w:rsidRPr="00517378">
        <w:rPr>
          <w:sz w:val="24"/>
          <w:szCs w:val="24"/>
        </w:rPr>
        <w:t xml:space="preserve">mL, </w:t>
      </w:r>
      <w:r w:rsidRPr="00517378">
        <w:rPr>
          <w:sz w:val="24"/>
          <w:szCs w:val="24"/>
        </w:rPr>
        <w:t xml:space="preserve">si presenta come una polvere liofilizzata o solido friabile di colore bianco, biancastro o verde pallido. Il solvente (acqua per preparazioni iniettabili) è un liquido chiaro ed incolore. </w:t>
      </w:r>
      <w:r w:rsidR="00517378" w:rsidRPr="00517378">
        <w:rPr>
          <w:sz w:val="24"/>
          <w:szCs w:val="24"/>
        </w:rPr>
        <w:t>Dopo la ricostituzione si ottiene una soluzione che appare chiara o lievemente opalescente e priva di corpi estranei.</w:t>
      </w:r>
    </w:p>
    <w:p w14:paraId="51A010C3" w14:textId="77777777" w:rsidR="00C56597" w:rsidRPr="00517378" w:rsidRDefault="00D70ACC" w:rsidP="00C56597">
      <w:pPr>
        <w:spacing w:after="0" w:line="240" w:lineRule="auto"/>
        <w:jc w:val="both"/>
        <w:rPr>
          <w:sz w:val="24"/>
          <w:szCs w:val="24"/>
        </w:rPr>
      </w:pPr>
      <w:r w:rsidRPr="00517378">
        <w:rPr>
          <w:sz w:val="24"/>
          <w:szCs w:val="24"/>
        </w:rPr>
        <w:t>Gli e</w:t>
      </w:r>
      <w:r w:rsidR="00C56597" w:rsidRPr="00517378">
        <w:rPr>
          <w:sz w:val="24"/>
          <w:szCs w:val="24"/>
        </w:rPr>
        <w:t>ccipienti</w:t>
      </w:r>
      <w:r w:rsidR="00517378" w:rsidRPr="00517378">
        <w:rPr>
          <w:sz w:val="24"/>
          <w:szCs w:val="24"/>
        </w:rPr>
        <w:t xml:space="preserve"> sono</w:t>
      </w:r>
      <w:r w:rsidRPr="00517378">
        <w:rPr>
          <w:sz w:val="24"/>
          <w:szCs w:val="24"/>
        </w:rPr>
        <w:t>: cloruro di sodio e c</w:t>
      </w:r>
      <w:r w:rsidR="00C56597" w:rsidRPr="00517378">
        <w:rPr>
          <w:sz w:val="24"/>
          <w:szCs w:val="24"/>
        </w:rPr>
        <w:t>itrato di sodio.</w:t>
      </w:r>
    </w:p>
    <w:p w14:paraId="04AFDD10" w14:textId="77777777" w:rsidR="00517378" w:rsidRPr="00517378" w:rsidRDefault="00517378" w:rsidP="00517378">
      <w:pPr>
        <w:spacing w:after="0" w:line="240" w:lineRule="auto"/>
        <w:jc w:val="both"/>
        <w:rPr>
          <w:sz w:val="24"/>
          <w:szCs w:val="24"/>
        </w:rPr>
      </w:pPr>
      <w:r w:rsidRPr="00517378">
        <w:rPr>
          <w:sz w:val="24"/>
          <w:szCs w:val="24"/>
        </w:rPr>
        <w:t>FEIBA, 100 UF/mL, è disponibile in tre differenti presentazioni:</w:t>
      </w:r>
    </w:p>
    <w:p w14:paraId="69C06894" w14:textId="5199CCC6" w:rsidR="00517378" w:rsidRPr="00517378" w:rsidRDefault="00517378" w:rsidP="00517378">
      <w:pPr>
        <w:spacing w:after="0" w:line="240" w:lineRule="auto"/>
        <w:jc w:val="both"/>
        <w:rPr>
          <w:sz w:val="24"/>
          <w:szCs w:val="24"/>
        </w:rPr>
      </w:pPr>
      <w:r w:rsidRPr="00517378">
        <w:rPr>
          <w:sz w:val="24"/>
          <w:szCs w:val="24"/>
        </w:rPr>
        <w:lastRenderedPageBreak/>
        <w:t>-</w:t>
      </w:r>
      <w:r w:rsidRPr="00517378">
        <w:rPr>
          <w:sz w:val="24"/>
          <w:szCs w:val="24"/>
        </w:rPr>
        <w:tab/>
        <w:t>500 UF in 5 m</w:t>
      </w:r>
      <w:r w:rsidR="00087C1C">
        <w:rPr>
          <w:sz w:val="24"/>
          <w:szCs w:val="24"/>
        </w:rPr>
        <w:t>L</w:t>
      </w:r>
      <w:r w:rsidRPr="00517378">
        <w:rPr>
          <w:sz w:val="24"/>
          <w:szCs w:val="24"/>
        </w:rPr>
        <w:t xml:space="preserve"> </w:t>
      </w:r>
    </w:p>
    <w:p w14:paraId="1578F7B2" w14:textId="1451A059" w:rsidR="00517378" w:rsidRPr="00517378" w:rsidRDefault="00517378" w:rsidP="00517378">
      <w:pPr>
        <w:spacing w:after="0" w:line="240" w:lineRule="auto"/>
        <w:jc w:val="both"/>
        <w:rPr>
          <w:sz w:val="24"/>
          <w:szCs w:val="24"/>
        </w:rPr>
      </w:pPr>
      <w:r w:rsidRPr="00517378">
        <w:rPr>
          <w:sz w:val="24"/>
          <w:szCs w:val="24"/>
        </w:rPr>
        <w:t>-</w:t>
      </w:r>
      <w:r w:rsidRPr="00517378">
        <w:rPr>
          <w:sz w:val="24"/>
          <w:szCs w:val="24"/>
        </w:rPr>
        <w:tab/>
        <w:t>1000 UF in 10 m</w:t>
      </w:r>
      <w:r w:rsidR="00087C1C">
        <w:rPr>
          <w:sz w:val="24"/>
          <w:szCs w:val="24"/>
        </w:rPr>
        <w:t>L</w:t>
      </w:r>
    </w:p>
    <w:p w14:paraId="5CC319CA" w14:textId="1A8136B3" w:rsidR="004E5A39" w:rsidRPr="004A4351" w:rsidRDefault="00517378" w:rsidP="00EF6711">
      <w:pPr>
        <w:spacing w:after="0" w:line="240" w:lineRule="auto"/>
        <w:jc w:val="both"/>
        <w:rPr>
          <w:sz w:val="24"/>
          <w:szCs w:val="24"/>
        </w:rPr>
      </w:pPr>
      <w:r w:rsidRPr="00517378">
        <w:rPr>
          <w:sz w:val="24"/>
          <w:szCs w:val="24"/>
        </w:rPr>
        <w:t>-</w:t>
      </w:r>
      <w:r w:rsidRPr="00517378">
        <w:rPr>
          <w:sz w:val="24"/>
          <w:szCs w:val="24"/>
        </w:rPr>
        <w:tab/>
      </w:r>
      <w:r w:rsidRPr="0015644A">
        <w:t>2500</w:t>
      </w:r>
      <w:r w:rsidRPr="00517378">
        <w:rPr>
          <w:sz w:val="24"/>
          <w:szCs w:val="24"/>
        </w:rPr>
        <w:t xml:space="preserve"> UF in 25 m</w:t>
      </w:r>
      <w:r w:rsidR="00087C1C">
        <w:rPr>
          <w:sz w:val="24"/>
          <w:szCs w:val="24"/>
        </w:rPr>
        <w:t>L</w:t>
      </w:r>
    </w:p>
    <w:p w14:paraId="43C14814" w14:textId="77777777" w:rsidR="00FF13D1" w:rsidRDefault="00FF13D1" w:rsidP="00EF6711">
      <w:pPr>
        <w:spacing w:after="0" w:line="240" w:lineRule="auto"/>
        <w:jc w:val="both"/>
        <w:rPr>
          <w:b/>
        </w:rPr>
      </w:pPr>
    </w:p>
    <w:p w14:paraId="68F6FE1B" w14:textId="77777777" w:rsidR="004E5A39" w:rsidRPr="00FF13D1" w:rsidRDefault="004E5A39" w:rsidP="00EF6711">
      <w:pPr>
        <w:spacing w:after="0" w:line="240" w:lineRule="auto"/>
        <w:jc w:val="both"/>
        <w:rPr>
          <w:rFonts w:cstheme="minorHAnsi"/>
          <w:b/>
          <w:sz w:val="24"/>
          <w:szCs w:val="24"/>
        </w:rPr>
      </w:pPr>
      <w:r w:rsidRPr="00FF13D1">
        <w:rPr>
          <w:rFonts w:cstheme="minorHAnsi"/>
          <w:b/>
          <w:sz w:val="24"/>
          <w:szCs w:val="24"/>
        </w:rPr>
        <w:t>Sviluppo farmaceutico</w:t>
      </w:r>
    </w:p>
    <w:p w14:paraId="667F3FA7" w14:textId="77777777" w:rsidR="00D068BE" w:rsidRDefault="00870D04" w:rsidP="00EF6711">
      <w:pPr>
        <w:spacing w:after="0" w:line="240" w:lineRule="auto"/>
        <w:jc w:val="both"/>
        <w:rPr>
          <w:rFonts w:cstheme="minorHAnsi"/>
          <w:b/>
          <w:sz w:val="24"/>
          <w:szCs w:val="24"/>
        </w:rPr>
      </w:pPr>
      <w:r w:rsidRPr="00FF13D1">
        <w:rPr>
          <w:rFonts w:cstheme="minorHAnsi"/>
          <w:sz w:val="24"/>
          <w:szCs w:val="24"/>
        </w:rPr>
        <w:t xml:space="preserve">Non sono state apportate modifiche allo sviluppo farmaceutico relativamente alla nuova formulazione da 100 UF/mL. </w:t>
      </w:r>
    </w:p>
    <w:p w14:paraId="3AB9CE72" w14:textId="77777777" w:rsidR="00B347B3" w:rsidRDefault="00B347B3" w:rsidP="00EF6711">
      <w:pPr>
        <w:spacing w:after="0" w:line="240" w:lineRule="auto"/>
        <w:jc w:val="both"/>
        <w:rPr>
          <w:rFonts w:cstheme="minorHAnsi"/>
          <w:b/>
          <w:sz w:val="24"/>
          <w:szCs w:val="24"/>
        </w:rPr>
      </w:pPr>
    </w:p>
    <w:p w14:paraId="0531D105" w14:textId="77777777" w:rsidR="004E5A39" w:rsidRPr="00FF13D1" w:rsidRDefault="004E5A39" w:rsidP="00EF6711">
      <w:pPr>
        <w:spacing w:after="0" w:line="240" w:lineRule="auto"/>
        <w:jc w:val="both"/>
        <w:rPr>
          <w:rFonts w:cstheme="minorHAnsi"/>
          <w:b/>
          <w:sz w:val="24"/>
          <w:szCs w:val="24"/>
        </w:rPr>
      </w:pPr>
      <w:r w:rsidRPr="00FF13D1">
        <w:rPr>
          <w:rFonts w:cstheme="minorHAnsi"/>
          <w:b/>
          <w:sz w:val="24"/>
          <w:szCs w:val="24"/>
        </w:rPr>
        <w:t xml:space="preserve">Produzione </w:t>
      </w:r>
    </w:p>
    <w:p w14:paraId="632C6BFB" w14:textId="6A1C25A0" w:rsidR="00CA3014" w:rsidRDefault="00C977E1" w:rsidP="00EF6711">
      <w:pPr>
        <w:spacing w:after="0" w:line="240" w:lineRule="auto"/>
        <w:jc w:val="both"/>
        <w:rPr>
          <w:rFonts w:cstheme="minorHAnsi"/>
          <w:sz w:val="24"/>
          <w:szCs w:val="24"/>
        </w:rPr>
      </w:pPr>
      <w:r>
        <w:rPr>
          <w:rFonts w:cstheme="minorHAnsi"/>
          <w:sz w:val="24"/>
          <w:szCs w:val="24"/>
        </w:rPr>
        <w:t>FEIBA</w:t>
      </w:r>
      <w:r w:rsidR="00A1135A" w:rsidRPr="00A1135A">
        <w:rPr>
          <w:rFonts w:cstheme="minorHAnsi"/>
          <w:sz w:val="24"/>
          <w:szCs w:val="24"/>
        </w:rPr>
        <w:t xml:space="preserve">, polvere e solvente per soluzione per infusione, alla nuova concentrazione di 100 UF/mL, è ottenuto semplicemente </w:t>
      </w:r>
      <w:r w:rsidR="00CC569F">
        <w:rPr>
          <w:rFonts w:cstheme="minorHAnsi"/>
          <w:sz w:val="24"/>
          <w:szCs w:val="24"/>
        </w:rPr>
        <w:t>riducendo della metà</w:t>
      </w:r>
      <w:r w:rsidR="00A1135A" w:rsidRPr="00A1135A">
        <w:rPr>
          <w:rFonts w:cstheme="minorHAnsi"/>
          <w:sz w:val="24"/>
          <w:szCs w:val="24"/>
        </w:rPr>
        <w:t xml:space="preserve"> il volume del solvente (acqua per preparazioni iniettabili) di ricostituzione co-confezionato, non sono state quindi apportate modifiche al processo produttivo del prodotto finito</w:t>
      </w:r>
      <w:r w:rsidR="00B347B3">
        <w:rPr>
          <w:rFonts w:cstheme="minorHAnsi"/>
          <w:sz w:val="24"/>
          <w:szCs w:val="24"/>
        </w:rPr>
        <w:t xml:space="preserve"> rispetto a quanto già autorizzato per </w:t>
      </w:r>
      <w:r>
        <w:rPr>
          <w:rFonts w:cstheme="minorHAnsi"/>
          <w:sz w:val="24"/>
          <w:szCs w:val="24"/>
        </w:rPr>
        <w:t>FEIBA</w:t>
      </w:r>
      <w:r w:rsidR="00B347B3">
        <w:rPr>
          <w:rFonts w:cstheme="minorHAnsi"/>
          <w:sz w:val="24"/>
          <w:szCs w:val="24"/>
        </w:rPr>
        <w:t xml:space="preserve"> alla concentrazione di 50 UF/mL</w:t>
      </w:r>
      <w:r w:rsidR="00A1135A" w:rsidRPr="00A1135A">
        <w:rPr>
          <w:rFonts w:cstheme="minorHAnsi"/>
          <w:sz w:val="24"/>
          <w:szCs w:val="24"/>
        </w:rPr>
        <w:t xml:space="preserve">. La composizione qualitativa, il processo di produzione e il sistema di chiusura del contenitore della polvere della concentrazione proposta FEIBA 100 UF/mL sono essenzialmente identici a quelli di FEIBA, 50 UF/mL, già autorizzato. </w:t>
      </w:r>
      <w:r w:rsidR="00F76F7C" w:rsidRPr="00A1135A">
        <w:rPr>
          <w:rFonts w:cstheme="minorHAnsi"/>
          <w:sz w:val="24"/>
          <w:szCs w:val="24"/>
        </w:rPr>
        <w:t>Pertanto,</w:t>
      </w:r>
      <w:r w:rsidR="00A1135A" w:rsidRPr="00A1135A">
        <w:rPr>
          <w:rFonts w:cstheme="minorHAnsi"/>
          <w:sz w:val="24"/>
          <w:szCs w:val="24"/>
        </w:rPr>
        <w:t xml:space="preserve"> la concentrazione</w:t>
      </w:r>
      <w:r w:rsidR="00F76F7C">
        <w:rPr>
          <w:rFonts w:cstheme="minorHAnsi"/>
          <w:sz w:val="24"/>
          <w:szCs w:val="24"/>
        </w:rPr>
        <w:t xml:space="preserve"> di</w:t>
      </w:r>
      <w:r w:rsidR="00A1135A" w:rsidRPr="00A1135A">
        <w:rPr>
          <w:rFonts w:cstheme="minorHAnsi"/>
          <w:sz w:val="24"/>
          <w:szCs w:val="24"/>
        </w:rPr>
        <w:t xml:space="preserve"> 100 UF/mL, disponibile in tre formulazioni 500 UF/5 ml, 1000 UF/10 ml e 2500 UF/25 ml</w:t>
      </w:r>
      <w:r w:rsidR="007501ED">
        <w:rPr>
          <w:rFonts w:cstheme="minorHAnsi"/>
          <w:sz w:val="24"/>
          <w:szCs w:val="24"/>
        </w:rPr>
        <w:t>,</w:t>
      </w:r>
      <w:r w:rsidR="00A1135A" w:rsidRPr="00A1135A">
        <w:rPr>
          <w:rFonts w:cstheme="minorHAnsi"/>
          <w:sz w:val="24"/>
          <w:szCs w:val="24"/>
        </w:rPr>
        <w:t xml:space="preserve"> non ha subito modifiche addizionali </w:t>
      </w:r>
      <w:r w:rsidR="001119D8">
        <w:rPr>
          <w:rFonts w:cstheme="minorHAnsi"/>
          <w:sz w:val="24"/>
          <w:szCs w:val="24"/>
        </w:rPr>
        <w:t xml:space="preserve">al </w:t>
      </w:r>
      <w:r w:rsidR="00A1135A" w:rsidRPr="00A1135A">
        <w:rPr>
          <w:rFonts w:cstheme="minorHAnsi"/>
          <w:sz w:val="24"/>
          <w:szCs w:val="24"/>
        </w:rPr>
        <w:t xml:space="preserve">processo produttivo del prodotto finito. </w:t>
      </w:r>
    </w:p>
    <w:p w14:paraId="3A375ABE" w14:textId="77777777" w:rsidR="00BA6388" w:rsidRPr="00FF13D1" w:rsidRDefault="00BA6388" w:rsidP="00EF6711">
      <w:pPr>
        <w:spacing w:after="0" w:line="240" w:lineRule="auto"/>
        <w:jc w:val="both"/>
        <w:rPr>
          <w:rFonts w:cstheme="minorHAnsi"/>
          <w:sz w:val="24"/>
          <w:szCs w:val="24"/>
        </w:rPr>
      </w:pPr>
    </w:p>
    <w:p w14:paraId="78A10DB3" w14:textId="77777777" w:rsidR="004E5A39" w:rsidRPr="00FF13D1" w:rsidRDefault="004E5A39" w:rsidP="00EF6711">
      <w:pPr>
        <w:spacing w:after="0" w:line="240" w:lineRule="auto"/>
        <w:jc w:val="both"/>
        <w:rPr>
          <w:rFonts w:cstheme="minorHAnsi"/>
          <w:b/>
          <w:sz w:val="24"/>
          <w:szCs w:val="24"/>
        </w:rPr>
      </w:pPr>
      <w:r w:rsidRPr="00FF13D1">
        <w:rPr>
          <w:rFonts w:cstheme="minorHAnsi"/>
          <w:b/>
          <w:sz w:val="24"/>
          <w:szCs w:val="24"/>
        </w:rPr>
        <w:t>Specifiche del prodotto finito</w:t>
      </w:r>
    </w:p>
    <w:p w14:paraId="559794B2" w14:textId="54DC5898" w:rsidR="004E5A39" w:rsidRDefault="00BF57DF" w:rsidP="00EF6711">
      <w:pPr>
        <w:spacing w:after="0" w:line="240" w:lineRule="auto"/>
        <w:jc w:val="both"/>
        <w:rPr>
          <w:rFonts w:cstheme="minorHAnsi"/>
          <w:sz w:val="24"/>
          <w:szCs w:val="24"/>
        </w:rPr>
      </w:pPr>
      <w:r>
        <w:rPr>
          <w:rFonts w:cstheme="minorHAnsi"/>
          <w:sz w:val="24"/>
          <w:szCs w:val="24"/>
        </w:rPr>
        <w:t xml:space="preserve">Sono state fornite adeguate specifiche di controllo per il prodotto finito al rilascio e alla fine della validità. </w:t>
      </w:r>
      <w:r w:rsidR="00BA6388" w:rsidRPr="00FF13D1">
        <w:rPr>
          <w:rFonts w:cstheme="minorHAnsi"/>
          <w:sz w:val="24"/>
          <w:szCs w:val="24"/>
        </w:rPr>
        <w:t>Le</w:t>
      </w:r>
      <w:r w:rsidR="004E5A39" w:rsidRPr="00FF13D1">
        <w:rPr>
          <w:rFonts w:cstheme="minorHAnsi"/>
          <w:sz w:val="24"/>
          <w:szCs w:val="24"/>
        </w:rPr>
        <w:t xml:space="preserve"> specifiche di controllo per il prodotto finito al rilascio e alla fine della validità</w:t>
      </w:r>
      <w:r w:rsidR="00BA6388" w:rsidRPr="00FF13D1">
        <w:rPr>
          <w:rFonts w:cstheme="minorHAnsi"/>
          <w:sz w:val="24"/>
          <w:szCs w:val="24"/>
        </w:rPr>
        <w:t xml:space="preserve"> non sono state modificate per </w:t>
      </w:r>
      <w:r w:rsidR="00FC7D91">
        <w:rPr>
          <w:rFonts w:cstheme="minorHAnsi"/>
          <w:sz w:val="24"/>
          <w:szCs w:val="24"/>
        </w:rPr>
        <w:t>la nuova concentrazione</w:t>
      </w:r>
      <w:r w:rsidR="00BA6388" w:rsidRPr="00FF13D1">
        <w:rPr>
          <w:rFonts w:cstheme="minorHAnsi"/>
          <w:sz w:val="24"/>
          <w:szCs w:val="24"/>
        </w:rPr>
        <w:t xml:space="preserve"> d</w:t>
      </w:r>
      <w:r w:rsidR="00F76F7C">
        <w:rPr>
          <w:rFonts w:cstheme="minorHAnsi"/>
          <w:sz w:val="24"/>
          <w:szCs w:val="24"/>
        </w:rPr>
        <w:t>i</w:t>
      </w:r>
      <w:r w:rsidR="00BA6388" w:rsidRPr="00FF13D1">
        <w:rPr>
          <w:rFonts w:cstheme="minorHAnsi"/>
          <w:sz w:val="24"/>
          <w:szCs w:val="24"/>
        </w:rPr>
        <w:t xml:space="preserve"> 100 UF/mL</w:t>
      </w:r>
      <w:r w:rsidR="004E5A39" w:rsidRPr="00FF13D1">
        <w:rPr>
          <w:rFonts w:cstheme="minorHAnsi"/>
          <w:sz w:val="24"/>
          <w:szCs w:val="24"/>
        </w:rPr>
        <w:t xml:space="preserve">. I metodi analitici </w:t>
      </w:r>
      <w:r w:rsidR="00BA6388" w:rsidRPr="00FF13D1">
        <w:rPr>
          <w:rFonts w:cstheme="minorHAnsi"/>
          <w:sz w:val="24"/>
          <w:szCs w:val="24"/>
        </w:rPr>
        <w:t>non hanno subito variazioni rispetto alla for</w:t>
      </w:r>
      <w:r>
        <w:rPr>
          <w:rFonts w:cstheme="minorHAnsi"/>
          <w:sz w:val="24"/>
          <w:szCs w:val="24"/>
        </w:rPr>
        <w:t>m</w:t>
      </w:r>
      <w:r w:rsidR="00BA6388" w:rsidRPr="00FF13D1">
        <w:rPr>
          <w:rFonts w:cstheme="minorHAnsi"/>
          <w:sz w:val="24"/>
          <w:szCs w:val="24"/>
        </w:rPr>
        <w:t xml:space="preserve">ulazione già autorizzata. </w:t>
      </w:r>
      <w:r w:rsidR="004E5A39" w:rsidRPr="00FF13D1">
        <w:rPr>
          <w:rFonts w:cstheme="minorHAnsi"/>
          <w:sz w:val="24"/>
          <w:szCs w:val="24"/>
        </w:rPr>
        <w:t xml:space="preserve">Sono stati forniti, inoltre, dati analitici per </w:t>
      </w:r>
      <w:r w:rsidR="00BA0ACD" w:rsidRPr="00FF13D1">
        <w:rPr>
          <w:rFonts w:cstheme="minorHAnsi"/>
          <w:sz w:val="24"/>
          <w:szCs w:val="24"/>
        </w:rPr>
        <w:t>il</w:t>
      </w:r>
      <w:r w:rsidR="004E5A39" w:rsidRPr="00FF13D1">
        <w:rPr>
          <w:rFonts w:cstheme="minorHAnsi"/>
          <w:sz w:val="24"/>
          <w:szCs w:val="24"/>
        </w:rPr>
        <w:t xml:space="preserve"> prodotto finito: questi dati dimostrano che i lotti prodotti sono in accordo alle specifich</w:t>
      </w:r>
      <w:r w:rsidR="00FC7D91">
        <w:rPr>
          <w:rFonts w:cstheme="minorHAnsi"/>
          <w:sz w:val="24"/>
          <w:szCs w:val="24"/>
        </w:rPr>
        <w:t xml:space="preserve">e proposte. Sono stati forniti </w:t>
      </w:r>
      <w:r w:rsidR="00FB7952">
        <w:rPr>
          <w:rFonts w:cstheme="minorHAnsi"/>
          <w:sz w:val="24"/>
          <w:szCs w:val="24"/>
        </w:rPr>
        <w:t>dati adeguati per la qualità degli standard di riferimento autorizzati.</w:t>
      </w:r>
    </w:p>
    <w:p w14:paraId="3330567E" w14:textId="77777777" w:rsidR="004E5A39" w:rsidRPr="00FF13D1" w:rsidRDefault="004E5A39" w:rsidP="00EF6711">
      <w:pPr>
        <w:spacing w:after="0" w:line="240" w:lineRule="auto"/>
        <w:jc w:val="both"/>
        <w:rPr>
          <w:rFonts w:cstheme="minorHAnsi"/>
          <w:b/>
          <w:sz w:val="24"/>
          <w:szCs w:val="24"/>
        </w:rPr>
      </w:pPr>
    </w:p>
    <w:p w14:paraId="6072F3D7" w14:textId="77777777" w:rsidR="004E5A39" w:rsidRPr="00FF13D1" w:rsidRDefault="004E5A39" w:rsidP="00EF6711">
      <w:pPr>
        <w:spacing w:after="0" w:line="240" w:lineRule="auto"/>
        <w:jc w:val="both"/>
        <w:rPr>
          <w:rFonts w:cstheme="minorHAnsi"/>
          <w:b/>
          <w:sz w:val="24"/>
          <w:szCs w:val="24"/>
        </w:rPr>
      </w:pPr>
      <w:r w:rsidRPr="00FF13D1">
        <w:rPr>
          <w:rFonts w:cstheme="minorHAnsi"/>
          <w:b/>
          <w:sz w:val="24"/>
          <w:szCs w:val="24"/>
        </w:rPr>
        <w:t>Contenitore</w:t>
      </w:r>
    </w:p>
    <w:p w14:paraId="350177AB" w14:textId="77777777" w:rsidR="00BA0ACD" w:rsidRDefault="00D41C63" w:rsidP="00EF6711">
      <w:pPr>
        <w:spacing w:after="0" w:line="240" w:lineRule="auto"/>
        <w:jc w:val="both"/>
        <w:rPr>
          <w:rFonts w:cstheme="minorHAnsi"/>
          <w:sz w:val="24"/>
          <w:szCs w:val="24"/>
        </w:rPr>
      </w:pPr>
      <w:r w:rsidRPr="00FF13D1">
        <w:rPr>
          <w:rFonts w:eastAsia="Calibri" w:cstheme="minorHAnsi"/>
          <w:color w:val="000000"/>
          <w:sz w:val="24"/>
          <w:szCs w:val="24"/>
          <w:lang w:eastAsia="it-IT"/>
        </w:rPr>
        <w:t>FEIBA</w:t>
      </w:r>
      <w:r w:rsidR="00D426B6" w:rsidRPr="00FF13D1">
        <w:rPr>
          <w:rFonts w:eastAsia="Calibri" w:cstheme="minorHAnsi"/>
          <w:color w:val="000000"/>
          <w:sz w:val="24"/>
          <w:szCs w:val="24"/>
          <w:lang w:eastAsia="it-IT"/>
        </w:rPr>
        <w:t xml:space="preserve">, 100 UF/mL </w:t>
      </w:r>
      <w:r w:rsidR="00260D58" w:rsidRPr="00FF13D1">
        <w:rPr>
          <w:rFonts w:eastAsia="Calibri" w:cstheme="minorHAnsi"/>
          <w:color w:val="000000"/>
          <w:sz w:val="24"/>
          <w:szCs w:val="24"/>
          <w:lang w:eastAsia="it-IT"/>
        </w:rPr>
        <w:t xml:space="preserve">è </w:t>
      </w:r>
      <w:r w:rsidR="00271FE8">
        <w:rPr>
          <w:rFonts w:eastAsia="Calibri" w:cstheme="minorHAnsi"/>
          <w:color w:val="000000"/>
          <w:sz w:val="24"/>
          <w:szCs w:val="24"/>
          <w:lang w:eastAsia="it-IT"/>
        </w:rPr>
        <w:t>fornito</w:t>
      </w:r>
      <w:r w:rsidR="00260D58" w:rsidRPr="00FF13D1">
        <w:rPr>
          <w:rFonts w:eastAsia="Calibri" w:cstheme="minorHAnsi"/>
          <w:color w:val="000000"/>
          <w:sz w:val="24"/>
          <w:szCs w:val="24"/>
          <w:lang w:eastAsia="it-IT"/>
        </w:rPr>
        <w:t xml:space="preserve"> in polvere </w:t>
      </w:r>
      <w:r w:rsidR="00271FE8">
        <w:rPr>
          <w:rFonts w:eastAsia="Calibri" w:cstheme="minorHAnsi"/>
          <w:color w:val="000000"/>
          <w:sz w:val="24"/>
          <w:szCs w:val="24"/>
          <w:lang w:eastAsia="it-IT"/>
        </w:rPr>
        <w:t xml:space="preserve">confezionata </w:t>
      </w:r>
      <w:r w:rsidR="00260D58" w:rsidRPr="00FF13D1">
        <w:rPr>
          <w:rFonts w:cstheme="minorHAnsi"/>
          <w:sz w:val="24"/>
          <w:szCs w:val="24"/>
        </w:rPr>
        <w:t>in un flacon</w:t>
      </w:r>
      <w:r w:rsidR="00A2330F">
        <w:rPr>
          <w:rFonts w:cstheme="minorHAnsi"/>
          <w:sz w:val="24"/>
          <w:szCs w:val="24"/>
        </w:rPr>
        <w:t>cino</w:t>
      </w:r>
      <w:r w:rsidR="00260D58" w:rsidRPr="00FF13D1">
        <w:rPr>
          <w:rFonts w:cstheme="minorHAnsi"/>
          <w:sz w:val="24"/>
          <w:szCs w:val="24"/>
        </w:rPr>
        <w:t xml:space="preserve"> di vetro incolore trattato in superficie (idro</w:t>
      </w:r>
      <w:r w:rsidR="00004350">
        <w:rPr>
          <w:rFonts w:cstheme="minorHAnsi"/>
          <w:sz w:val="24"/>
          <w:szCs w:val="24"/>
        </w:rPr>
        <w:t>litico di tipo I per 500 UF e 2</w:t>
      </w:r>
      <w:r w:rsidR="00260D58" w:rsidRPr="00FF13D1">
        <w:rPr>
          <w:rFonts w:cstheme="minorHAnsi"/>
          <w:sz w:val="24"/>
          <w:szCs w:val="24"/>
        </w:rPr>
        <w:t>500 UF; idrolitico di tipo II per 1 000 UF). Il solvente è fornito in un flaconcino di vetro incolore trattato in superficie (tipo idrolitico I per 5 mL, 10 mL e 25 mL). I flaconcini sono chiusi con tappi in gomma butilica.</w:t>
      </w:r>
    </w:p>
    <w:p w14:paraId="14589891" w14:textId="77777777" w:rsidR="006D0BDF" w:rsidRPr="00FF13D1" w:rsidRDefault="006D0BDF" w:rsidP="00EF6711">
      <w:pPr>
        <w:spacing w:after="0" w:line="240" w:lineRule="auto"/>
        <w:jc w:val="both"/>
        <w:rPr>
          <w:rFonts w:cstheme="minorHAnsi"/>
          <w:sz w:val="24"/>
          <w:szCs w:val="24"/>
        </w:rPr>
      </w:pPr>
      <w:r w:rsidRPr="006D0BDF">
        <w:rPr>
          <w:rFonts w:cstheme="minorHAnsi"/>
          <w:sz w:val="24"/>
          <w:szCs w:val="24"/>
        </w:rPr>
        <w:t>Sono state fornite adeguate informazioni relative al confezionamento primario.</w:t>
      </w:r>
    </w:p>
    <w:p w14:paraId="25E1A40E" w14:textId="77777777" w:rsidR="00271FE8" w:rsidRPr="00271FE8" w:rsidRDefault="00271FE8" w:rsidP="00271FE8">
      <w:pPr>
        <w:spacing w:after="0" w:line="240" w:lineRule="auto"/>
        <w:jc w:val="both"/>
        <w:rPr>
          <w:rFonts w:cstheme="minorHAnsi"/>
          <w:sz w:val="24"/>
          <w:szCs w:val="24"/>
        </w:rPr>
      </w:pPr>
      <w:r w:rsidRPr="00271FE8">
        <w:rPr>
          <w:rFonts w:cstheme="minorHAnsi"/>
          <w:sz w:val="24"/>
          <w:szCs w:val="24"/>
        </w:rPr>
        <w:t>Contenuto della confezione:</w:t>
      </w:r>
    </w:p>
    <w:p w14:paraId="5C5F7B76" w14:textId="77777777" w:rsidR="00271FE8" w:rsidRPr="00271FE8" w:rsidRDefault="00271FE8" w:rsidP="00271FE8">
      <w:pPr>
        <w:spacing w:after="0" w:line="240" w:lineRule="auto"/>
        <w:jc w:val="both"/>
        <w:rPr>
          <w:rFonts w:cstheme="minorHAnsi"/>
          <w:sz w:val="24"/>
          <w:szCs w:val="24"/>
        </w:rPr>
      </w:pPr>
      <w:r>
        <w:rPr>
          <w:rFonts w:cstheme="minorHAnsi"/>
          <w:sz w:val="24"/>
          <w:szCs w:val="24"/>
        </w:rPr>
        <w:t>-</w:t>
      </w:r>
      <w:r w:rsidRPr="00271FE8">
        <w:rPr>
          <w:rFonts w:cstheme="minorHAnsi"/>
          <w:sz w:val="24"/>
          <w:szCs w:val="24"/>
        </w:rPr>
        <w:t>1 flaconcino d</w:t>
      </w:r>
      <w:r w:rsidR="00004350">
        <w:rPr>
          <w:rFonts w:cstheme="minorHAnsi"/>
          <w:sz w:val="24"/>
          <w:szCs w:val="24"/>
        </w:rPr>
        <w:t>i FEIBA da 500 UF, 1 000 UF o 2</w:t>
      </w:r>
      <w:r w:rsidRPr="00271FE8">
        <w:rPr>
          <w:rFonts w:cstheme="minorHAnsi"/>
          <w:sz w:val="24"/>
          <w:szCs w:val="24"/>
        </w:rPr>
        <w:t>500 UF</w:t>
      </w:r>
    </w:p>
    <w:p w14:paraId="5610378E" w14:textId="77777777" w:rsidR="00271FE8" w:rsidRPr="00271FE8" w:rsidRDefault="00271FE8" w:rsidP="00271FE8">
      <w:pPr>
        <w:spacing w:after="0" w:line="240" w:lineRule="auto"/>
        <w:jc w:val="both"/>
        <w:rPr>
          <w:rFonts w:cstheme="minorHAnsi"/>
          <w:sz w:val="24"/>
          <w:szCs w:val="24"/>
        </w:rPr>
      </w:pPr>
      <w:r>
        <w:rPr>
          <w:rFonts w:cstheme="minorHAnsi"/>
          <w:sz w:val="24"/>
          <w:szCs w:val="24"/>
        </w:rPr>
        <w:t>-</w:t>
      </w:r>
      <w:r w:rsidRPr="00271FE8">
        <w:rPr>
          <w:rFonts w:cstheme="minorHAnsi"/>
          <w:sz w:val="24"/>
          <w:szCs w:val="24"/>
        </w:rPr>
        <w:t>1 flaconcino da 5 mL/10 mL/25 mL di acqua per preparazioni iniettabili</w:t>
      </w:r>
    </w:p>
    <w:p w14:paraId="47302CAF" w14:textId="275B2BAD" w:rsidR="00271FE8" w:rsidRPr="00271FE8" w:rsidRDefault="00271FE8" w:rsidP="00271FE8">
      <w:pPr>
        <w:spacing w:after="0" w:line="240" w:lineRule="auto"/>
        <w:jc w:val="both"/>
        <w:rPr>
          <w:rFonts w:cstheme="minorHAnsi"/>
          <w:sz w:val="24"/>
          <w:szCs w:val="24"/>
        </w:rPr>
      </w:pPr>
      <w:r>
        <w:rPr>
          <w:rFonts w:cstheme="minorHAnsi"/>
          <w:sz w:val="24"/>
          <w:szCs w:val="24"/>
        </w:rPr>
        <w:t>-</w:t>
      </w:r>
      <w:r w:rsidRPr="00271FE8">
        <w:rPr>
          <w:rFonts w:cstheme="minorHAnsi"/>
          <w:sz w:val="24"/>
          <w:szCs w:val="24"/>
        </w:rPr>
        <w:t xml:space="preserve">1 BAXJECT II Hi-Flow (dispositivo </w:t>
      </w:r>
      <w:r w:rsidR="00A3250A" w:rsidRPr="00271FE8">
        <w:rPr>
          <w:rFonts w:cstheme="minorHAnsi"/>
          <w:sz w:val="24"/>
          <w:szCs w:val="24"/>
        </w:rPr>
        <w:t xml:space="preserve">per la ricostituzione </w:t>
      </w:r>
      <w:r w:rsidR="00EE58E0">
        <w:rPr>
          <w:rFonts w:cstheme="minorHAnsi"/>
          <w:sz w:val="24"/>
          <w:szCs w:val="24"/>
        </w:rPr>
        <w:t>senza aghi</w:t>
      </w:r>
      <w:r w:rsidRPr="00271FE8">
        <w:rPr>
          <w:rFonts w:cstheme="minorHAnsi"/>
          <w:sz w:val="24"/>
          <w:szCs w:val="24"/>
        </w:rPr>
        <w:t>)</w:t>
      </w:r>
    </w:p>
    <w:p w14:paraId="1E2F1735" w14:textId="77777777" w:rsidR="00271FE8" w:rsidRPr="00271FE8" w:rsidRDefault="00271FE8" w:rsidP="00271FE8">
      <w:pPr>
        <w:spacing w:after="0" w:line="240" w:lineRule="auto"/>
        <w:jc w:val="both"/>
        <w:rPr>
          <w:rFonts w:cstheme="minorHAnsi"/>
          <w:sz w:val="24"/>
          <w:szCs w:val="24"/>
        </w:rPr>
      </w:pPr>
      <w:r>
        <w:rPr>
          <w:rFonts w:cstheme="minorHAnsi"/>
          <w:sz w:val="24"/>
          <w:szCs w:val="24"/>
        </w:rPr>
        <w:t>-</w:t>
      </w:r>
      <w:r w:rsidRPr="00271FE8">
        <w:rPr>
          <w:rFonts w:cstheme="minorHAnsi"/>
          <w:sz w:val="24"/>
          <w:szCs w:val="24"/>
        </w:rPr>
        <w:t>1 siringa monouso</w:t>
      </w:r>
    </w:p>
    <w:p w14:paraId="0F9A19BC" w14:textId="77777777" w:rsidR="00271FE8" w:rsidRDefault="00271FE8" w:rsidP="00271FE8">
      <w:pPr>
        <w:spacing w:after="0" w:line="240" w:lineRule="auto"/>
        <w:jc w:val="both"/>
        <w:rPr>
          <w:rFonts w:cstheme="minorHAnsi"/>
          <w:sz w:val="24"/>
          <w:szCs w:val="24"/>
        </w:rPr>
      </w:pPr>
      <w:r>
        <w:rPr>
          <w:rFonts w:cstheme="minorHAnsi"/>
          <w:sz w:val="24"/>
          <w:szCs w:val="24"/>
        </w:rPr>
        <w:t>-</w:t>
      </w:r>
      <w:r w:rsidRPr="00271FE8">
        <w:rPr>
          <w:rFonts w:cstheme="minorHAnsi"/>
          <w:sz w:val="24"/>
          <w:szCs w:val="24"/>
        </w:rPr>
        <w:t>1 ago a farfalla</w:t>
      </w:r>
    </w:p>
    <w:p w14:paraId="25D9EDBB" w14:textId="77777777" w:rsidR="00BA0ACD" w:rsidRPr="00FF13D1" w:rsidRDefault="00BA0ACD" w:rsidP="00EF6711">
      <w:pPr>
        <w:spacing w:after="0" w:line="240" w:lineRule="auto"/>
        <w:jc w:val="both"/>
        <w:rPr>
          <w:rFonts w:cstheme="minorHAnsi"/>
          <w:sz w:val="24"/>
          <w:szCs w:val="24"/>
        </w:rPr>
      </w:pPr>
    </w:p>
    <w:p w14:paraId="3481EDC2" w14:textId="77777777" w:rsidR="004E5A39" w:rsidRPr="00FF13D1" w:rsidRDefault="004E5A39" w:rsidP="00EF6711">
      <w:pPr>
        <w:spacing w:after="0" w:line="240" w:lineRule="auto"/>
        <w:jc w:val="both"/>
        <w:rPr>
          <w:rFonts w:cstheme="minorHAnsi"/>
          <w:b/>
          <w:sz w:val="24"/>
          <w:szCs w:val="24"/>
        </w:rPr>
      </w:pPr>
      <w:r w:rsidRPr="00550740">
        <w:rPr>
          <w:rFonts w:cstheme="minorHAnsi"/>
          <w:b/>
          <w:sz w:val="24"/>
          <w:szCs w:val="24"/>
        </w:rPr>
        <w:t>Stabilità</w:t>
      </w:r>
    </w:p>
    <w:p w14:paraId="778B089C" w14:textId="77777777" w:rsidR="00550740" w:rsidRDefault="00B1408F" w:rsidP="00EF6711">
      <w:pPr>
        <w:spacing w:after="0" w:line="240" w:lineRule="auto"/>
        <w:jc w:val="both"/>
        <w:rPr>
          <w:rFonts w:cstheme="minorHAnsi"/>
          <w:sz w:val="24"/>
          <w:szCs w:val="24"/>
        </w:rPr>
      </w:pPr>
      <w:r>
        <w:rPr>
          <w:rFonts w:cstheme="minorHAnsi"/>
          <w:sz w:val="24"/>
          <w:szCs w:val="24"/>
        </w:rPr>
        <w:t xml:space="preserve">Gli studi di stabilità del medicinale </w:t>
      </w:r>
      <w:r w:rsidR="00C977E1">
        <w:rPr>
          <w:rFonts w:cstheme="minorHAnsi"/>
          <w:sz w:val="24"/>
          <w:szCs w:val="24"/>
        </w:rPr>
        <w:t>FEIBA</w:t>
      </w:r>
      <w:r>
        <w:rPr>
          <w:rFonts w:cstheme="minorHAnsi"/>
          <w:sz w:val="24"/>
          <w:szCs w:val="24"/>
        </w:rPr>
        <w:t xml:space="preserve"> sono stati integrati con studi relativi alla nuova formulazione da 100 UF/mL</w:t>
      </w:r>
      <w:r w:rsidR="00BA3819">
        <w:rPr>
          <w:rFonts w:cstheme="minorHAnsi"/>
          <w:sz w:val="24"/>
          <w:szCs w:val="24"/>
        </w:rPr>
        <w:t>, polvere e solvente per soluzione per infusione</w:t>
      </w:r>
      <w:r>
        <w:rPr>
          <w:rFonts w:cstheme="minorHAnsi"/>
          <w:sz w:val="24"/>
          <w:szCs w:val="24"/>
        </w:rPr>
        <w:t xml:space="preserve">. </w:t>
      </w:r>
      <w:r w:rsidR="003E4FBD" w:rsidRPr="00FF13D1">
        <w:rPr>
          <w:rFonts w:cstheme="minorHAnsi"/>
          <w:sz w:val="24"/>
          <w:szCs w:val="24"/>
        </w:rPr>
        <w:t xml:space="preserve">Gli studi di stabilità sul prodotto finito </w:t>
      </w:r>
      <w:r w:rsidR="00C977E1" w:rsidRPr="00FF13D1">
        <w:rPr>
          <w:rFonts w:cstheme="minorHAnsi"/>
          <w:sz w:val="24"/>
          <w:szCs w:val="24"/>
        </w:rPr>
        <w:t>FEIBA</w:t>
      </w:r>
      <w:r w:rsidR="00112B34">
        <w:rPr>
          <w:rFonts w:cstheme="minorHAnsi"/>
          <w:sz w:val="24"/>
          <w:szCs w:val="24"/>
        </w:rPr>
        <w:t xml:space="preserve">, </w:t>
      </w:r>
      <w:r w:rsidR="00550740">
        <w:rPr>
          <w:rFonts w:cstheme="minorHAnsi"/>
          <w:sz w:val="24"/>
          <w:szCs w:val="24"/>
        </w:rPr>
        <w:t xml:space="preserve">100 UF/mL, </w:t>
      </w:r>
      <w:r w:rsidR="00112B34">
        <w:rPr>
          <w:rFonts w:cstheme="minorHAnsi"/>
          <w:sz w:val="24"/>
          <w:szCs w:val="24"/>
        </w:rPr>
        <w:t xml:space="preserve">polvere e solvente per soluzione per infusione, </w:t>
      </w:r>
      <w:r w:rsidR="00550740">
        <w:rPr>
          <w:rFonts w:cstheme="minorHAnsi"/>
          <w:sz w:val="24"/>
          <w:szCs w:val="24"/>
        </w:rPr>
        <w:t xml:space="preserve">sono stati condotti in accordo alle correnti linee guida e i risultati sono entro i limiti delle specifiche autorizzate. </w:t>
      </w:r>
    </w:p>
    <w:p w14:paraId="2BD64069" w14:textId="600AA18C" w:rsidR="00BA3819" w:rsidRDefault="004E5A39" w:rsidP="00112B34">
      <w:pPr>
        <w:spacing w:after="0" w:line="240" w:lineRule="auto"/>
        <w:jc w:val="both"/>
        <w:rPr>
          <w:rFonts w:cstheme="minorHAnsi"/>
          <w:sz w:val="24"/>
          <w:szCs w:val="24"/>
        </w:rPr>
      </w:pPr>
      <w:r w:rsidRPr="00FF13D1">
        <w:rPr>
          <w:rFonts w:cstheme="minorHAnsi"/>
          <w:sz w:val="24"/>
          <w:szCs w:val="24"/>
        </w:rPr>
        <w:t xml:space="preserve">Sulla base di questi risultati, è stato autorizzato un periodo di validità di </w:t>
      </w:r>
      <w:r w:rsidR="00793AE2">
        <w:rPr>
          <w:rFonts w:cstheme="minorHAnsi"/>
          <w:sz w:val="24"/>
          <w:szCs w:val="24"/>
        </w:rPr>
        <w:t>2</w:t>
      </w:r>
      <w:r w:rsidR="00AC6BDF" w:rsidRPr="00FF13D1">
        <w:rPr>
          <w:rFonts w:cstheme="minorHAnsi"/>
          <w:sz w:val="24"/>
          <w:szCs w:val="24"/>
        </w:rPr>
        <w:t xml:space="preserve"> </w:t>
      </w:r>
      <w:r w:rsidR="00265B61" w:rsidRPr="00FF13D1">
        <w:rPr>
          <w:rFonts w:cstheme="minorHAnsi"/>
          <w:sz w:val="24"/>
          <w:szCs w:val="24"/>
        </w:rPr>
        <w:t>anni</w:t>
      </w:r>
      <w:r w:rsidR="00BA3819">
        <w:rPr>
          <w:rFonts w:cstheme="minorHAnsi"/>
          <w:sz w:val="24"/>
          <w:szCs w:val="24"/>
        </w:rPr>
        <w:t>,</w:t>
      </w:r>
      <w:r w:rsidR="00B1408F">
        <w:rPr>
          <w:rFonts w:cstheme="minorHAnsi"/>
          <w:sz w:val="24"/>
          <w:szCs w:val="24"/>
        </w:rPr>
        <w:t xml:space="preserve"> se il prodotto è correttamente conservato nel confezionamento integro</w:t>
      </w:r>
      <w:r w:rsidR="00BA3819">
        <w:rPr>
          <w:rFonts w:cstheme="minorHAnsi"/>
          <w:sz w:val="24"/>
          <w:szCs w:val="24"/>
        </w:rPr>
        <w:t>, a temperatura non superiore a 25°C</w:t>
      </w:r>
      <w:r w:rsidR="00B1408F">
        <w:rPr>
          <w:rFonts w:cstheme="minorHAnsi"/>
          <w:sz w:val="24"/>
          <w:szCs w:val="24"/>
        </w:rPr>
        <w:t xml:space="preserve">. </w:t>
      </w:r>
      <w:r w:rsidR="00BA3819">
        <w:rPr>
          <w:rFonts w:cstheme="minorHAnsi"/>
          <w:sz w:val="24"/>
          <w:szCs w:val="24"/>
        </w:rPr>
        <w:t>Il prodotto non deve essere congelato e non deve essere utilizzato dopo la data di scadenza.</w:t>
      </w:r>
    </w:p>
    <w:p w14:paraId="5571B9CF" w14:textId="42D50F02" w:rsidR="00112B34" w:rsidRPr="00B1408F" w:rsidRDefault="00B1408F" w:rsidP="00112B34">
      <w:pPr>
        <w:spacing w:after="0" w:line="240" w:lineRule="auto"/>
        <w:jc w:val="both"/>
        <w:rPr>
          <w:rFonts w:cstheme="minorHAnsi"/>
          <w:strike/>
          <w:sz w:val="24"/>
          <w:szCs w:val="24"/>
        </w:rPr>
      </w:pPr>
      <w:r>
        <w:rPr>
          <w:rFonts w:cstheme="minorHAnsi"/>
          <w:sz w:val="24"/>
          <w:szCs w:val="24"/>
        </w:rPr>
        <w:lastRenderedPageBreak/>
        <w:t xml:space="preserve">Dopo la ricostituzione il prodotto non deve essere conservato in frigorifero. </w:t>
      </w:r>
      <w:r w:rsidR="00112B34" w:rsidRPr="00B1408F">
        <w:rPr>
          <w:rFonts w:ascii="Calibri" w:eastAsia="Times New Roman" w:hAnsi="Calibri" w:cs="Calibri"/>
          <w:sz w:val="24"/>
          <w:szCs w:val="24"/>
        </w:rPr>
        <w:t xml:space="preserve">La stabilità chimica e fisica dopo ricostituzione è stata </w:t>
      </w:r>
      <w:r w:rsidR="00112B34" w:rsidRPr="00B1408F">
        <w:rPr>
          <w:rFonts w:eastAsia="Times New Roman" w:cstheme="minorHAnsi"/>
          <w:sz w:val="24"/>
          <w:szCs w:val="24"/>
        </w:rPr>
        <w:t xml:space="preserve">provata per 3 ore ad una temperatura compresa tra 20°C e 25°C. </w:t>
      </w:r>
    </w:p>
    <w:p w14:paraId="06F226D9" w14:textId="77777777" w:rsidR="00112B34" w:rsidRPr="00B1408F" w:rsidRDefault="00112B34" w:rsidP="00112B34">
      <w:pPr>
        <w:spacing w:after="0" w:line="240" w:lineRule="auto"/>
        <w:jc w:val="both"/>
        <w:rPr>
          <w:rFonts w:eastAsia="Times New Roman" w:cstheme="minorHAnsi"/>
          <w:sz w:val="24"/>
          <w:szCs w:val="24"/>
        </w:rPr>
      </w:pPr>
      <w:r w:rsidRPr="00B1408F">
        <w:rPr>
          <w:rFonts w:eastAsia="Times New Roman" w:cstheme="minorHAnsi"/>
          <w:sz w:val="24"/>
          <w:szCs w:val="24"/>
        </w:rPr>
        <w:t xml:space="preserve">Da un punto di vista microbiologico, il prodotto, dopo ricostituzione, </w:t>
      </w:r>
      <w:r w:rsidRPr="00A2330F">
        <w:rPr>
          <w:rFonts w:eastAsia="Times New Roman" w:cstheme="minorHAnsi"/>
          <w:sz w:val="24"/>
          <w:szCs w:val="24"/>
        </w:rPr>
        <w:t xml:space="preserve">deve essere usato immediatamente. </w:t>
      </w:r>
      <w:r w:rsidRPr="00B1408F">
        <w:rPr>
          <w:rFonts w:eastAsia="Times New Roman" w:cstheme="minorHAnsi"/>
          <w:sz w:val="24"/>
          <w:szCs w:val="24"/>
        </w:rPr>
        <w:t>Se la soluzione ricostituita non è usata immediatamente, le condizioni e il tempo di conservazione sono responsabilità dell’utilizzatore.</w:t>
      </w:r>
    </w:p>
    <w:p w14:paraId="12C914D9" w14:textId="77777777" w:rsidR="004E5A39" w:rsidRPr="00FF13D1" w:rsidRDefault="004E5A39" w:rsidP="00EF6711">
      <w:pPr>
        <w:spacing w:after="0" w:line="240" w:lineRule="auto"/>
        <w:jc w:val="both"/>
        <w:rPr>
          <w:rFonts w:cstheme="minorHAnsi"/>
          <w:sz w:val="24"/>
          <w:szCs w:val="24"/>
        </w:rPr>
      </w:pPr>
    </w:p>
    <w:p w14:paraId="47317D48" w14:textId="77777777" w:rsidR="004E5A39" w:rsidRPr="00FF13D1" w:rsidRDefault="004E5A39" w:rsidP="00A76244">
      <w:pPr>
        <w:spacing w:after="0" w:line="240" w:lineRule="auto"/>
        <w:ind w:firstLine="708"/>
        <w:jc w:val="both"/>
        <w:rPr>
          <w:rFonts w:cstheme="minorHAnsi"/>
          <w:b/>
          <w:sz w:val="24"/>
          <w:szCs w:val="24"/>
        </w:rPr>
      </w:pPr>
      <w:r w:rsidRPr="00FF13D1">
        <w:rPr>
          <w:rFonts w:cstheme="minorHAnsi"/>
          <w:b/>
          <w:sz w:val="24"/>
          <w:szCs w:val="24"/>
        </w:rPr>
        <w:t>II.3 Discussione sugli aspetti di qualità</w:t>
      </w:r>
    </w:p>
    <w:p w14:paraId="50A012B0" w14:textId="77777777" w:rsidR="00BA6388" w:rsidRDefault="00550740" w:rsidP="00EF6711">
      <w:pPr>
        <w:spacing w:after="0" w:line="240" w:lineRule="auto"/>
        <w:jc w:val="both"/>
        <w:rPr>
          <w:rFonts w:cstheme="minorHAnsi"/>
          <w:sz w:val="24"/>
          <w:szCs w:val="24"/>
        </w:rPr>
      </w:pPr>
      <w:r>
        <w:rPr>
          <w:rFonts w:cstheme="minorHAnsi"/>
          <w:sz w:val="24"/>
          <w:szCs w:val="24"/>
        </w:rPr>
        <w:t xml:space="preserve">Nel corso della valutazione non </w:t>
      </w:r>
      <w:r w:rsidR="00BA6388" w:rsidRPr="00FF13D1">
        <w:rPr>
          <w:rFonts w:cstheme="minorHAnsi"/>
          <w:sz w:val="24"/>
          <w:szCs w:val="24"/>
        </w:rPr>
        <w:t xml:space="preserve">sono emerse criticità su aspetti di qualità riguardanti </w:t>
      </w:r>
      <w:r w:rsidR="00C977E1" w:rsidRPr="00FF13D1">
        <w:rPr>
          <w:rFonts w:eastAsia="Calibri" w:cstheme="minorHAnsi"/>
          <w:color w:val="000000"/>
          <w:sz w:val="24"/>
          <w:szCs w:val="24"/>
          <w:lang w:eastAsia="it-IT"/>
        </w:rPr>
        <w:t>FEIBA</w:t>
      </w:r>
      <w:r w:rsidR="00655986" w:rsidRPr="00FF13D1">
        <w:rPr>
          <w:rFonts w:eastAsia="Calibri" w:cstheme="minorHAnsi"/>
          <w:color w:val="000000"/>
          <w:sz w:val="24"/>
          <w:szCs w:val="24"/>
          <w:lang w:eastAsia="it-IT"/>
        </w:rPr>
        <w:t>, 100 UI/mL,</w:t>
      </w:r>
      <w:r w:rsidR="000808A3" w:rsidRPr="00FF13D1">
        <w:rPr>
          <w:rFonts w:eastAsia="Calibri" w:cstheme="minorHAnsi"/>
          <w:color w:val="000000"/>
          <w:sz w:val="24"/>
          <w:szCs w:val="24"/>
          <w:lang w:eastAsia="it-IT"/>
        </w:rPr>
        <w:t xml:space="preserve"> </w:t>
      </w:r>
      <w:r w:rsidR="00D62FAF">
        <w:rPr>
          <w:rFonts w:eastAsia="Calibri" w:cstheme="minorHAnsi"/>
          <w:color w:val="000000"/>
          <w:sz w:val="24"/>
          <w:szCs w:val="24"/>
          <w:lang w:eastAsia="it-IT"/>
        </w:rPr>
        <w:t xml:space="preserve">polvere e soluzione per infusione, </w:t>
      </w:r>
      <w:r w:rsidR="00BA6388" w:rsidRPr="00FF13D1">
        <w:rPr>
          <w:rFonts w:eastAsia="Calibri" w:cstheme="minorHAnsi"/>
          <w:color w:val="000000"/>
          <w:sz w:val="24"/>
          <w:szCs w:val="24"/>
          <w:lang w:eastAsia="it-IT"/>
        </w:rPr>
        <w:t xml:space="preserve">la documentazione fornita a supporto </w:t>
      </w:r>
      <w:r w:rsidR="004E5A39" w:rsidRPr="00FF13D1">
        <w:rPr>
          <w:rFonts w:cstheme="minorHAnsi"/>
          <w:sz w:val="24"/>
          <w:szCs w:val="24"/>
        </w:rPr>
        <w:t xml:space="preserve">è </w:t>
      </w:r>
      <w:r w:rsidR="00BA6388" w:rsidRPr="00FF13D1">
        <w:rPr>
          <w:rFonts w:cstheme="minorHAnsi"/>
          <w:sz w:val="24"/>
          <w:szCs w:val="24"/>
        </w:rPr>
        <w:t xml:space="preserve">stata </w:t>
      </w:r>
      <w:r w:rsidR="004E5A39" w:rsidRPr="00FF13D1">
        <w:rPr>
          <w:rFonts w:cstheme="minorHAnsi"/>
          <w:sz w:val="24"/>
          <w:szCs w:val="24"/>
        </w:rPr>
        <w:t xml:space="preserve">considerata adeguata. </w:t>
      </w:r>
      <w:r w:rsidR="00BA6388" w:rsidRPr="00FF13D1">
        <w:rPr>
          <w:rFonts w:cstheme="minorHAnsi"/>
          <w:sz w:val="24"/>
          <w:szCs w:val="24"/>
        </w:rPr>
        <w:t>La sezione relativa agli studi di sicurezza virale, TSE e altri agenti patogeni non è stata oggetto di modifica per l’introduzione della nuova forma farmaceutica. Gli studi riportati risultano adeguati ai requisiti di qualità e sicurezza definiti dalla normativa europea.</w:t>
      </w:r>
    </w:p>
    <w:p w14:paraId="27F9DA7B" w14:textId="77777777" w:rsidR="00671482" w:rsidRPr="00FF13D1" w:rsidRDefault="00671482" w:rsidP="00EF6711">
      <w:pPr>
        <w:spacing w:after="0" w:line="240" w:lineRule="auto"/>
        <w:jc w:val="both"/>
        <w:rPr>
          <w:rFonts w:cstheme="minorHAnsi"/>
          <w:sz w:val="24"/>
          <w:szCs w:val="24"/>
        </w:rPr>
      </w:pPr>
      <w:r w:rsidRPr="00671482">
        <w:rPr>
          <w:rFonts w:cstheme="minorHAnsi"/>
          <w:sz w:val="24"/>
          <w:szCs w:val="24"/>
        </w:rPr>
        <w:t>Tutte le sezioni del Dossier interessate all’introduzione della formulazione 100 UF/mL sono state appropriatamente aggiornate.</w:t>
      </w:r>
    </w:p>
    <w:p w14:paraId="373F73C8" w14:textId="12E46808" w:rsidR="00370DDE" w:rsidRDefault="00170F91" w:rsidP="00D62FAF">
      <w:pPr>
        <w:spacing w:after="0" w:line="240" w:lineRule="auto"/>
        <w:jc w:val="both"/>
        <w:rPr>
          <w:rFonts w:ascii="Calibri" w:eastAsia="Calibri" w:hAnsi="Calibri" w:cs="Calibri"/>
          <w:sz w:val="24"/>
          <w:szCs w:val="24"/>
        </w:rPr>
      </w:pPr>
      <w:r>
        <w:rPr>
          <w:rFonts w:ascii="Calibri" w:eastAsia="Calibri" w:hAnsi="Calibri" w:cs="Calibri"/>
          <w:sz w:val="24"/>
          <w:szCs w:val="24"/>
        </w:rPr>
        <w:t>Pertanto,</w:t>
      </w:r>
      <w:r w:rsidR="00550740">
        <w:rPr>
          <w:rFonts w:ascii="Calibri" w:eastAsia="Calibri" w:hAnsi="Calibri" w:cs="Calibri"/>
          <w:sz w:val="24"/>
          <w:szCs w:val="24"/>
        </w:rPr>
        <w:t xml:space="preserve"> l</w:t>
      </w:r>
      <w:r w:rsidR="00D62FAF" w:rsidRPr="00D62FAF">
        <w:rPr>
          <w:rFonts w:ascii="Calibri" w:eastAsia="Calibri" w:hAnsi="Calibri" w:cs="Calibri"/>
          <w:sz w:val="24"/>
          <w:szCs w:val="24"/>
        </w:rPr>
        <w:t xml:space="preserve">a qualità di </w:t>
      </w:r>
      <w:r w:rsidR="00C977E1">
        <w:rPr>
          <w:rFonts w:ascii="Calibri" w:eastAsia="Calibri" w:hAnsi="Calibri" w:cs="Calibri"/>
          <w:color w:val="000000"/>
          <w:sz w:val="24"/>
          <w:szCs w:val="24"/>
          <w:lang w:eastAsia="it-IT"/>
        </w:rPr>
        <w:t>FEIBA</w:t>
      </w:r>
      <w:r w:rsidR="00D62FAF">
        <w:rPr>
          <w:rFonts w:ascii="Calibri" w:eastAsia="Calibri" w:hAnsi="Calibri" w:cs="Calibri"/>
          <w:color w:val="000000"/>
          <w:sz w:val="24"/>
          <w:szCs w:val="24"/>
          <w:lang w:eastAsia="it-IT"/>
        </w:rPr>
        <w:t xml:space="preserve">, 100 UF/mL, polvere e solvente per soluzione per infusione, </w:t>
      </w:r>
      <w:r w:rsidR="00D62FAF" w:rsidRPr="00D62FAF">
        <w:rPr>
          <w:rFonts w:ascii="Calibri" w:eastAsia="Calibri" w:hAnsi="Calibri" w:cs="Calibri"/>
          <w:sz w:val="24"/>
          <w:szCs w:val="24"/>
        </w:rPr>
        <w:t xml:space="preserve">è </w:t>
      </w:r>
      <w:r w:rsidR="00550740">
        <w:rPr>
          <w:rFonts w:ascii="Calibri" w:eastAsia="Calibri" w:hAnsi="Calibri" w:cs="Calibri"/>
          <w:sz w:val="24"/>
          <w:szCs w:val="24"/>
        </w:rPr>
        <w:t xml:space="preserve">stata </w:t>
      </w:r>
      <w:r w:rsidR="00D62FAF" w:rsidRPr="00D62FAF">
        <w:rPr>
          <w:rFonts w:ascii="Calibri" w:eastAsia="Calibri" w:hAnsi="Calibri" w:cs="Calibri"/>
          <w:sz w:val="24"/>
          <w:szCs w:val="24"/>
        </w:rPr>
        <w:t xml:space="preserve">considerata adeguata. </w:t>
      </w:r>
    </w:p>
    <w:p w14:paraId="184983FE" w14:textId="77777777" w:rsidR="00D62FAF" w:rsidRPr="00D62FAF" w:rsidRDefault="00550740" w:rsidP="00D62FAF">
      <w:pPr>
        <w:spacing w:after="0" w:line="240" w:lineRule="auto"/>
        <w:jc w:val="both"/>
        <w:rPr>
          <w:rFonts w:ascii="Calibri" w:eastAsia="Calibri" w:hAnsi="Calibri" w:cs="Calibri"/>
          <w:sz w:val="24"/>
          <w:szCs w:val="24"/>
        </w:rPr>
      </w:pPr>
      <w:r>
        <w:rPr>
          <w:rFonts w:ascii="Calibri" w:eastAsia="Calibri" w:hAnsi="Calibri" w:cs="Calibri"/>
          <w:sz w:val="24"/>
          <w:szCs w:val="24"/>
        </w:rPr>
        <w:t>Dal</w:t>
      </w:r>
      <w:r w:rsidR="00D62FAF" w:rsidRPr="00D62FAF">
        <w:rPr>
          <w:rFonts w:ascii="Calibri" w:eastAsia="Calibri" w:hAnsi="Calibri" w:cs="Calibri"/>
          <w:sz w:val="24"/>
          <w:szCs w:val="24"/>
        </w:rPr>
        <w:t xml:space="preserve"> punto di vista chimico-farmaceutico </w:t>
      </w:r>
      <w:r w:rsidR="00C977E1" w:rsidRPr="00D62FAF">
        <w:rPr>
          <w:rFonts w:ascii="Calibri" w:eastAsia="Calibri" w:hAnsi="Calibri" w:cs="Calibri"/>
          <w:color w:val="000000"/>
          <w:sz w:val="24"/>
          <w:szCs w:val="24"/>
          <w:lang w:eastAsia="it-IT"/>
        </w:rPr>
        <w:t>FEIBA</w:t>
      </w:r>
      <w:r w:rsidR="00D62FAF" w:rsidRPr="00D62FAF">
        <w:rPr>
          <w:rFonts w:ascii="Calibri" w:eastAsia="Calibri" w:hAnsi="Calibri" w:cs="Calibri"/>
          <w:color w:val="000000"/>
          <w:sz w:val="24"/>
          <w:szCs w:val="24"/>
          <w:lang w:eastAsia="it-IT"/>
        </w:rPr>
        <w:t>, 100 UF/mL, polvere e solvente per soluzi</w:t>
      </w:r>
      <w:r w:rsidR="00D62FAF">
        <w:rPr>
          <w:rFonts w:ascii="Calibri" w:eastAsia="Calibri" w:hAnsi="Calibri" w:cs="Calibri"/>
          <w:color w:val="000000"/>
          <w:sz w:val="24"/>
          <w:szCs w:val="24"/>
          <w:lang w:eastAsia="it-IT"/>
        </w:rPr>
        <w:t xml:space="preserve">one per infusione, </w:t>
      </w:r>
      <w:r w:rsidR="00D62FAF" w:rsidRPr="00D62FAF">
        <w:rPr>
          <w:rFonts w:ascii="Calibri" w:eastAsia="Calibri" w:hAnsi="Calibri" w:cs="Calibri"/>
          <w:sz w:val="24"/>
          <w:szCs w:val="24"/>
        </w:rPr>
        <w:t xml:space="preserve">è stato considerato accettabile per l’autorizzazione all’immissione in commercio. </w:t>
      </w:r>
    </w:p>
    <w:p w14:paraId="575973ED" w14:textId="77777777" w:rsidR="004E5A39" w:rsidRPr="00FF13D1" w:rsidRDefault="004E5A39" w:rsidP="00EF6711">
      <w:pPr>
        <w:spacing w:after="0" w:line="240" w:lineRule="auto"/>
        <w:jc w:val="both"/>
        <w:rPr>
          <w:rFonts w:cstheme="minorHAnsi"/>
          <w:sz w:val="24"/>
          <w:szCs w:val="24"/>
        </w:rPr>
      </w:pPr>
    </w:p>
    <w:p w14:paraId="1DC11DF9" w14:textId="77777777" w:rsidR="004E5A39" w:rsidRPr="00FF13D1" w:rsidRDefault="004E5A39" w:rsidP="00EF6711">
      <w:pPr>
        <w:pStyle w:val="Paragrafoelenco"/>
        <w:numPr>
          <w:ilvl w:val="0"/>
          <w:numId w:val="2"/>
        </w:numPr>
        <w:spacing w:after="0" w:line="240" w:lineRule="auto"/>
        <w:jc w:val="both"/>
        <w:rPr>
          <w:rFonts w:cstheme="minorHAnsi"/>
          <w:b/>
          <w:sz w:val="24"/>
          <w:szCs w:val="24"/>
        </w:rPr>
      </w:pPr>
      <w:r w:rsidRPr="00FF13D1">
        <w:rPr>
          <w:rFonts w:cstheme="minorHAnsi"/>
          <w:b/>
          <w:sz w:val="24"/>
          <w:szCs w:val="24"/>
        </w:rPr>
        <w:t>ASPETTI NON CLINICI</w:t>
      </w:r>
    </w:p>
    <w:p w14:paraId="14A788E4" w14:textId="7855D28E" w:rsidR="00C61127" w:rsidRPr="003908A7" w:rsidRDefault="00D62FAF" w:rsidP="00C61127">
      <w:pPr>
        <w:spacing w:after="0" w:line="240" w:lineRule="auto"/>
        <w:jc w:val="both"/>
        <w:rPr>
          <w:rFonts w:ascii="Calibri" w:eastAsia="Calibri" w:hAnsi="Calibri" w:cs="Calibri"/>
          <w:sz w:val="24"/>
          <w:szCs w:val="24"/>
        </w:rPr>
      </w:pPr>
      <w:r w:rsidRPr="00D62FAF">
        <w:rPr>
          <w:rFonts w:ascii="Calibri" w:eastAsia="Calibri" w:hAnsi="Calibri" w:cs="Calibri"/>
          <w:sz w:val="24"/>
          <w:szCs w:val="24"/>
        </w:rPr>
        <w:t xml:space="preserve">Dal momento che la domanda è stata presentata come </w:t>
      </w:r>
      <w:r w:rsidRPr="00D62FAF">
        <w:rPr>
          <w:rFonts w:ascii="Calibri" w:eastAsia="Calibri" w:hAnsi="Calibri" w:cs="Calibri"/>
          <w:i/>
          <w:sz w:val="24"/>
          <w:szCs w:val="24"/>
        </w:rPr>
        <w:t>line extension</w:t>
      </w:r>
      <w:r w:rsidRPr="00D62FAF">
        <w:rPr>
          <w:rFonts w:ascii="Calibri" w:eastAsia="Calibri" w:hAnsi="Calibri" w:cs="Calibri"/>
          <w:sz w:val="24"/>
          <w:szCs w:val="24"/>
        </w:rPr>
        <w:t xml:space="preserve"> del medicinale autorizzato </w:t>
      </w:r>
      <w:r w:rsidR="00D41C63" w:rsidRPr="00520ADB">
        <w:rPr>
          <w:rFonts w:ascii="Calibri" w:eastAsia="Calibri" w:hAnsi="Calibri" w:cs="Calibri"/>
          <w:sz w:val="24"/>
          <w:szCs w:val="24"/>
        </w:rPr>
        <w:t>FEIBA</w:t>
      </w:r>
      <w:r w:rsidR="00520ADB" w:rsidRPr="00520ADB">
        <w:rPr>
          <w:rFonts w:ascii="Calibri" w:eastAsia="Calibri" w:hAnsi="Calibri" w:cs="Calibri"/>
          <w:sz w:val="24"/>
          <w:szCs w:val="24"/>
        </w:rPr>
        <w:t xml:space="preserve">, 50 UF/mL, polvere e solvente per soluzione per infusione, </w:t>
      </w:r>
      <w:r w:rsidR="003908A7" w:rsidRPr="003908A7">
        <w:rPr>
          <w:rFonts w:ascii="Calibri" w:eastAsia="Calibri" w:hAnsi="Calibri" w:cs="Calibri"/>
          <w:sz w:val="24"/>
          <w:szCs w:val="24"/>
        </w:rPr>
        <w:t>i dati non clinici già forniti nella licenza attuale sono applicabil</w:t>
      </w:r>
      <w:r w:rsidR="001A475E">
        <w:rPr>
          <w:rFonts w:ascii="Calibri" w:eastAsia="Calibri" w:hAnsi="Calibri" w:cs="Calibri"/>
          <w:sz w:val="24"/>
          <w:szCs w:val="24"/>
        </w:rPr>
        <w:t>i per entrambe le presentazioni</w:t>
      </w:r>
      <w:r w:rsidR="003908A7" w:rsidRPr="003908A7">
        <w:rPr>
          <w:rFonts w:ascii="Calibri" w:eastAsia="Calibri" w:hAnsi="Calibri" w:cs="Calibri"/>
          <w:sz w:val="24"/>
          <w:szCs w:val="24"/>
        </w:rPr>
        <w:t xml:space="preserve"> e supportano anche l'efficacia clin</w:t>
      </w:r>
      <w:r w:rsidR="001A475E">
        <w:rPr>
          <w:rFonts w:ascii="Calibri" w:eastAsia="Calibri" w:hAnsi="Calibri" w:cs="Calibri"/>
          <w:sz w:val="24"/>
          <w:szCs w:val="24"/>
        </w:rPr>
        <w:t>ica e la sicurezza della nuova presentazion</w:t>
      </w:r>
      <w:r w:rsidR="003908A7" w:rsidRPr="003908A7">
        <w:rPr>
          <w:rFonts w:ascii="Calibri" w:eastAsia="Calibri" w:hAnsi="Calibri" w:cs="Calibri"/>
          <w:sz w:val="24"/>
          <w:szCs w:val="24"/>
        </w:rPr>
        <w:t>e.</w:t>
      </w:r>
      <w:r w:rsidR="003908A7">
        <w:rPr>
          <w:rFonts w:ascii="Calibri" w:eastAsia="Calibri" w:hAnsi="Calibri" w:cs="Calibri"/>
          <w:sz w:val="24"/>
          <w:szCs w:val="24"/>
        </w:rPr>
        <w:t xml:space="preserve"> L</w:t>
      </w:r>
      <w:r w:rsidR="00362715">
        <w:rPr>
          <w:rFonts w:ascii="Calibri" w:eastAsia="Calibri" w:hAnsi="Calibri" w:cs="Calibri"/>
          <w:sz w:val="24"/>
          <w:szCs w:val="24"/>
        </w:rPr>
        <w:t>a S</w:t>
      </w:r>
      <w:r w:rsidRPr="00D62FAF">
        <w:rPr>
          <w:rFonts w:ascii="Calibri" w:eastAsia="Calibri" w:hAnsi="Calibri" w:cs="Calibri"/>
          <w:sz w:val="24"/>
          <w:szCs w:val="24"/>
        </w:rPr>
        <w:t xml:space="preserve">ocietà ha fatto </w:t>
      </w:r>
      <w:r w:rsidR="003908A7">
        <w:rPr>
          <w:rFonts w:ascii="Calibri" w:eastAsia="Calibri" w:hAnsi="Calibri" w:cs="Calibri"/>
          <w:sz w:val="24"/>
          <w:szCs w:val="24"/>
        </w:rPr>
        <w:t xml:space="preserve">quindi </w:t>
      </w:r>
      <w:r w:rsidRPr="00D62FAF">
        <w:rPr>
          <w:rFonts w:ascii="Calibri" w:eastAsia="Calibri" w:hAnsi="Calibri" w:cs="Calibri"/>
          <w:sz w:val="24"/>
          <w:szCs w:val="24"/>
        </w:rPr>
        <w:t>riferimento alla documentazione non clinica già approvata per il suddetto medicinale</w:t>
      </w:r>
      <w:r w:rsidR="003908A7">
        <w:rPr>
          <w:rFonts w:ascii="Calibri" w:eastAsia="Calibri" w:hAnsi="Calibri" w:cs="Calibri"/>
          <w:sz w:val="24"/>
          <w:szCs w:val="24"/>
        </w:rPr>
        <w:t xml:space="preserve"> e </w:t>
      </w:r>
      <w:r w:rsidR="00520ADB">
        <w:rPr>
          <w:rFonts w:cstheme="minorHAnsi"/>
          <w:sz w:val="24"/>
          <w:szCs w:val="24"/>
        </w:rPr>
        <w:t>s</w:t>
      </w:r>
      <w:r w:rsidRPr="00520ADB">
        <w:rPr>
          <w:rFonts w:cstheme="minorHAnsi"/>
          <w:sz w:val="24"/>
          <w:szCs w:val="24"/>
        </w:rPr>
        <w:t xml:space="preserve">i è ritenuto accettabile che siano stati forniti solo alcuni studi di confronto fra </w:t>
      </w:r>
      <w:r w:rsidR="00E6493F">
        <w:rPr>
          <w:rFonts w:cstheme="minorHAnsi"/>
          <w:sz w:val="24"/>
          <w:szCs w:val="24"/>
        </w:rPr>
        <w:t xml:space="preserve">la concentrazione </w:t>
      </w:r>
      <w:r w:rsidR="00F76F7C">
        <w:rPr>
          <w:rFonts w:cstheme="minorHAnsi"/>
          <w:sz w:val="24"/>
          <w:szCs w:val="24"/>
        </w:rPr>
        <w:t xml:space="preserve">di </w:t>
      </w:r>
      <w:r w:rsidRPr="00520ADB">
        <w:rPr>
          <w:rFonts w:cstheme="minorHAnsi"/>
          <w:sz w:val="24"/>
          <w:szCs w:val="24"/>
        </w:rPr>
        <w:t>100 UF/mL e 50 UF/mL già in commercio.</w:t>
      </w:r>
    </w:p>
    <w:p w14:paraId="7A3B457A" w14:textId="77777777" w:rsidR="00E35288" w:rsidRPr="00A76244" w:rsidRDefault="00520ADB" w:rsidP="00A76244">
      <w:pPr>
        <w:spacing w:after="0" w:line="240" w:lineRule="auto"/>
        <w:jc w:val="both"/>
        <w:rPr>
          <w:rFonts w:eastAsia="Calibri" w:cstheme="minorHAnsi"/>
          <w:strike/>
          <w:sz w:val="24"/>
          <w:szCs w:val="24"/>
          <w:lang w:eastAsia="it-IT"/>
        </w:rPr>
      </w:pPr>
      <w:r w:rsidRPr="003908A7">
        <w:rPr>
          <w:rFonts w:cstheme="minorHAnsi"/>
          <w:sz w:val="24"/>
          <w:szCs w:val="24"/>
        </w:rPr>
        <w:t>Sono stati comunque</w:t>
      </w:r>
      <w:r w:rsidR="008D3FBC" w:rsidRPr="003908A7">
        <w:rPr>
          <w:rFonts w:cstheme="minorHAnsi"/>
          <w:sz w:val="24"/>
          <w:szCs w:val="24"/>
        </w:rPr>
        <w:t xml:space="preserve"> presentati c</w:t>
      </w:r>
      <w:r w:rsidR="00C61127" w:rsidRPr="003908A7">
        <w:rPr>
          <w:rFonts w:cstheme="minorHAnsi"/>
          <w:sz w:val="24"/>
          <w:szCs w:val="24"/>
        </w:rPr>
        <w:t>inque nuovi studi non clinici</w:t>
      </w:r>
      <w:r w:rsidRPr="00A76244">
        <w:rPr>
          <w:rFonts w:cstheme="minorHAnsi"/>
          <w:sz w:val="24"/>
          <w:szCs w:val="24"/>
        </w:rPr>
        <w:t>,</w:t>
      </w:r>
      <w:r w:rsidR="00362715" w:rsidRPr="00A76244">
        <w:rPr>
          <w:rFonts w:cstheme="minorHAnsi"/>
          <w:sz w:val="24"/>
          <w:szCs w:val="24"/>
        </w:rPr>
        <w:t xml:space="preserve"> </w:t>
      </w:r>
      <w:r w:rsidR="00A76244" w:rsidRPr="00A76244">
        <w:rPr>
          <w:rFonts w:cstheme="minorHAnsi"/>
          <w:sz w:val="24"/>
          <w:szCs w:val="24"/>
        </w:rPr>
        <w:t xml:space="preserve">fra cui </w:t>
      </w:r>
      <w:r w:rsidR="00E35288" w:rsidRPr="00A76244">
        <w:rPr>
          <w:rFonts w:eastAsia="Calibri" w:cstheme="minorHAnsi"/>
          <w:sz w:val="24"/>
          <w:szCs w:val="24"/>
          <w:lang w:eastAsia="it-IT"/>
        </w:rPr>
        <w:t>uno studio</w:t>
      </w:r>
      <w:r w:rsidR="00E35288" w:rsidRPr="00520ADB">
        <w:rPr>
          <w:rFonts w:eastAsia="Calibri" w:cstheme="minorHAnsi"/>
          <w:sz w:val="24"/>
          <w:szCs w:val="24"/>
          <w:lang w:eastAsia="it-IT"/>
        </w:rPr>
        <w:t xml:space="preserve"> su</w:t>
      </w:r>
      <w:r w:rsidR="003908A7">
        <w:rPr>
          <w:rFonts w:eastAsia="Calibri" w:cstheme="minorHAnsi"/>
          <w:sz w:val="24"/>
          <w:szCs w:val="24"/>
          <w:lang w:eastAsia="it-IT"/>
        </w:rPr>
        <w:t>i</w:t>
      </w:r>
      <w:r w:rsidR="00E35288" w:rsidRPr="00520ADB">
        <w:rPr>
          <w:rFonts w:eastAsia="Calibri" w:cstheme="minorHAnsi"/>
          <w:sz w:val="24"/>
          <w:szCs w:val="24"/>
          <w:lang w:eastAsia="it-IT"/>
        </w:rPr>
        <w:t xml:space="preserve"> ratti e uno sui conigli trattati con inibitore del FVIII, per valutare la tossicità acuta di diverse velocità di infusione di FEIBA </w:t>
      </w:r>
      <w:r w:rsidR="003908A7">
        <w:rPr>
          <w:rFonts w:eastAsia="Calibri" w:cstheme="minorHAnsi"/>
          <w:sz w:val="24"/>
          <w:szCs w:val="24"/>
          <w:lang w:eastAsia="it-IT"/>
        </w:rPr>
        <w:t xml:space="preserve">e </w:t>
      </w:r>
      <w:r w:rsidR="00E35288" w:rsidRPr="00520ADB">
        <w:rPr>
          <w:rFonts w:eastAsia="Calibri" w:cstheme="minorHAnsi"/>
          <w:sz w:val="24"/>
          <w:szCs w:val="24"/>
          <w:lang w:eastAsia="it-IT"/>
        </w:rPr>
        <w:t>uno studio sui conigli per valutare la tollerabilità locale della concentrazione di 100 UF/mL.</w:t>
      </w:r>
    </w:p>
    <w:p w14:paraId="4EE5516E" w14:textId="77777777" w:rsidR="00E35288" w:rsidRPr="00A76244" w:rsidRDefault="00E35288" w:rsidP="00A76244">
      <w:pPr>
        <w:spacing w:after="0" w:line="240" w:lineRule="auto"/>
        <w:ind w:right="6"/>
        <w:jc w:val="both"/>
        <w:rPr>
          <w:rFonts w:eastAsia="Calibri" w:cstheme="minorHAnsi"/>
          <w:sz w:val="24"/>
          <w:szCs w:val="24"/>
          <w:lang w:eastAsia="it-IT"/>
        </w:rPr>
      </w:pPr>
      <w:r w:rsidRPr="00520ADB">
        <w:rPr>
          <w:rFonts w:eastAsia="Calibri" w:cstheme="minorHAnsi"/>
          <w:sz w:val="24"/>
          <w:szCs w:val="24"/>
          <w:lang w:eastAsia="it-IT"/>
        </w:rPr>
        <w:t xml:space="preserve">Gli studi presentati dimostrano che la somministrazione a diverse velocità di infusione non influisce sull’azione del </w:t>
      </w:r>
      <w:r w:rsidR="003908A7">
        <w:rPr>
          <w:rFonts w:eastAsia="Calibri" w:cstheme="minorHAnsi"/>
          <w:sz w:val="24"/>
          <w:szCs w:val="24"/>
          <w:lang w:eastAsia="it-IT"/>
        </w:rPr>
        <w:t xml:space="preserve">medicinale </w:t>
      </w:r>
      <w:r w:rsidRPr="00520ADB">
        <w:rPr>
          <w:rFonts w:eastAsia="Calibri" w:cstheme="minorHAnsi"/>
          <w:sz w:val="24"/>
          <w:szCs w:val="24"/>
          <w:lang w:eastAsia="it-IT"/>
        </w:rPr>
        <w:t>e sull’insorgenza di eventi avversi legati alla sua attività.</w:t>
      </w:r>
    </w:p>
    <w:p w14:paraId="4E71C965" w14:textId="77777777" w:rsidR="000164BE" w:rsidRPr="00FF13D1" w:rsidRDefault="000164BE">
      <w:pPr>
        <w:spacing w:after="0" w:line="240" w:lineRule="auto"/>
        <w:jc w:val="both"/>
        <w:rPr>
          <w:rFonts w:cstheme="minorHAnsi"/>
          <w:sz w:val="24"/>
          <w:szCs w:val="24"/>
        </w:rPr>
      </w:pPr>
    </w:p>
    <w:p w14:paraId="7E47F8C3" w14:textId="77777777" w:rsidR="002265BA" w:rsidRPr="00D62FAF" w:rsidRDefault="004E5A39">
      <w:pPr>
        <w:pStyle w:val="Paragrafoelenco"/>
        <w:numPr>
          <w:ilvl w:val="0"/>
          <w:numId w:val="2"/>
        </w:numPr>
        <w:spacing w:after="0" w:line="240" w:lineRule="auto"/>
        <w:jc w:val="both"/>
        <w:rPr>
          <w:rFonts w:cstheme="minorHAnsi"/>
          <w:b/>
          <w:sz w:val="24"/>
          <w:szCs w:val="24"/>
        </w:rPr>
      </w:pPr>
      <w:r w:rsidRPr="00D62FAF">
        <w:rPr>
          <w:rFonts w:cstheme="minorHAnsi"/>
          <w:b/>
          <w:sz w:val="24"/>
          <w:szCs w:val="24"/>
        </w:rPr>
        <w:t>ASPETTI CLINICI</w:t>
      </w:r>
    </w:p>
    <w:p w14:paraId="2A1F3F36" w14:textId="77777777" w:rsidR="002265BA" w:rsidRPr="00D62FAF" w:rsidRDefault="00C977E1" w:rsidP="005801B3">
      <w:pPr>
        <w:pStyle w:val="Corpotesto"/>
        <w:spacing w:after="0"/>
        <w:ind w:left="118"/>
        <w:jc w:val="both"/>
        <w:rPr>
          <w:rFonts w:cstheme="minorHAnsi"/>
          <w:b/>
          <w:i/>
          <w:sz w:val="24"/>
          <w:szCs w:val="24"/>
        </w:rPr>
      </w:pPr>
      <w:r w:rsidRPr="00D62FAF">
        <w:rPr>
          <w:rFonts w:eastAsia="Calibri" w:cstheme="minorHAnsi"/>
          <w:color w:val="000000"/>
          <w:sz w:val="24"/>
          <w:szCs w:val="24"/>
          <w:lang w:eastAsia="it-IT"/>
        </w:rPr>
        <w:t>F</w:t>
      </w:r>
      <w:r>
        <w:rPr>
          <w:rFonts w:eastAsia="Calibri" w:cstheme="minorHAnsi"/>
          <w:color w:val="000000"/>
          <w:sz w:val="24"/>
          <w:szCs w:val="24"/>
          <w:lang w:eastAsia="it-IT"/>
        </w:rPr>
        <w:t>EIBA</w:t>
      </w:r>
      <w:r w:rsidR="008D1888" w:rsidRPr="00D62FAF">
        <w:rPr>
          <w:rFonts w:eastAsia="Calibri" w:cstheme="minorHAnsi"/>
          <w:color w:val="000000"/>
          <w:sz w:val="24"/>
          <w:szCs w:val="24"/>
          <w:lang w:eastAsia="it-IT"/>
        </w:rPr>
        <w:t>, 100 UF/</w:t>
      </w:r>
      <w:r w:rsidR="00B93B41" w:rsidRPr="00D62FAF">
        <w:rPr>
          <w:rFonts w:eastAsia="Calibri" w:cstheme="minorHAnsi"/>
          <w:color w:val="000000"/>
          <w:sz w:val="24"/>
          <w:szCs w:val="24"/>
          <w:lang w:eastAsia="it-IT"/>
        </w:rPr>
        <w:t>mL</w:t>
      </w:r>
      <w:r w:rsidR="0013304C" w:rsidRPr="00D62FAF">
        <w:rPr>
          <w:rFonts w:eastAsia="Calibri" w:cstheme="minorHAnsi"/>
          <w:color w:val="000000"/>
          <w:sz w:val="24"/>
          <w:szCs w:val="24"/>
          <w:lang w:eastAsia="it-IT"/>
        </w:rPr>
        <w:t>, polvere e solvente per soluzione per infusione</w:t>
      </w:r>
      <w:r w:rsidR="00864183">
        <w:rPr>
          <w:rFonts w:eastAsia="Calibri" w:cstheme="minorHAnsi"/>
          <w:color w:val="000000"/>
          <w:sz w:val="24"/>
          <w:szCs w:val="24"/>
          <w:lang w:eastAsia="it-IT"/>
        </w:rPr>
        <w:t>,</w:t>
      </w:r>
      <w:r w:rsidR="0013304C" w:rsidRPr="00D62FAF">
        <w:rPr>
          <w:rFonts w:eastAsia="Calibri" w:cstheme="minorHAnsi"/>
          <w:color w:val="000000"/>
          <w:sz w:val="24"/>
          <w:szCs w:val="24"/>
          <w:lang w:eastAsia="it-IT"/>
        </w:rPr>
        <w:t xml:space="preserve"> </w:t>
      </w:r>
      <w:r w:rsidR="00265B61" w:rsidRPr="00D62FAF">
        <w:rPr>
          <w:rFonts w:cstheme="minorHAnsi"/>
          <w:sz w:val="24"/>
          <w:szCs w:val="24"/>
        </w:rPr>
        <w:t xml:space="preserve">è </w:t>
      </w:r>
      <w:r w:rsidR="008D1E9E" w:rsidRPr="00D62FAF">
        <w:rPr>
          <w:rFonts w:cstheme="minorHAnsi"/>
          <w:sz w:val="24"/>
          <w:szCs w:val="24"/>
        </w:rPr>
        <w:t>indicato</w:t>
      </w:r>
      <w:r w:rsidR="00193687">
        <w:rPr>
          <w:rFonts w:cstheme="minorHAnsi"/>
          <w:sz w:val="24"/>
          <w:szCs w:val="24"/>
        </w:rPr>
        <w:t>:</w:t>
      </w:r>
    </w:p>
    <w:p w14:paraId="0FE40FFF" w14:textId="5F77AB29" w:rsidR="00F61BB9" w:rsidRPr="00D62FAF" w:rsidRDefault="00C40E3E" w:rsidP="005801B3">
      <w:pPr>
        <w:pStyle w:val="Paragrafoelenco"/>
        <w:autoSpaceDE w:val="0"/>
        <w:autoSpaceDN w:val="0"/>
        <w:adjustRightInd w:val="0"/>
        <w:spacing w:after="0"/>
        <w:ind w:left="567"/>
        <w:jc w:val="both"/>
        <w:rPr>
          <w:rFonts w:cstheme="minorHAnsi"/>
          <w:sz w:val="24"/>
          <w:szCs w:val="24"/>
        </w:rPr>
      </w:pPr>
      <w:r w:rsidRPr="00D62FAF">
        <w:rPr>
          <w:rFonts w:cstheme="minorHAnsi"/>
          <w:sz w:val="24"/>
          <w:szCs w:val="24"/>
        </w:rPr>
        <w:t xml:space="preserve">- </w:t>
      </w:r>
      <w:r w:rsidR="00B93B41" w:rsidRPr="00D62FAF">
        <w:rPr>
          <w:rFonts w:cstheme="minorHAnsi"/>
          <w:sz w:val="24"/>
          <w:szCs w:val="24"/>
        </w:rPr>
        <w:t xml:space="preserve">nel </w:t>
      </w:r>
      <w:r w:rsidRPr="00D62FAF">
        <w:rPr>
          <w:rFonts w:cstheme="minorHAnsi"/>
          <w:sz w:val="24"/>
          <w:szCs w:val="24"/>
        </w:rPr>
        <w:t>trattamento e nella profilassi degli episodi emorragici in soggetti con l’inibitore congenito o acquisito del fattore VIII.</w:t>
      </w:r>
    </w:p>
    <w:p w14:paraId="3001BB68" w14:textId="25D50886" w:rsidR="00A76244" w:rsidRPr="00E24469" w:rsidRDefault="00C40E3E" w:rsidP="0015644A">
      <w:pPr>
        <w:pStyle w:val="Paragrafoelenco"/>
        <w:autoSpaceDE w:val="0"/>
        <w:autoSpaceDN w:val="0"/>
        <w:adjustRightInd w:val="0"/>
        <w:spacing w:after="0"/>
        <w:ind w:left="567"/>
        <w:jc w:val="both"/>
      </w:pPr>
      <w:r w:rsidRPr="00D62FAF">
        <w:t xml:space="preserve">- </w:t>
      </w:r>
      <w:r w:rsidR="00B93B41" w:rsidRPr="0015644A">
        <w:rPr>
          <w:sz w:val="24"/>
          <w:szCs w:val="24"/>
        </w:rPr>
        <w:t xml:space="preserve">nel </w:t>
      </w:r>
      <w:r w:rsidRPr="0015644A">
        <w:rPr>
          <w:sz w:val="24"/>
          <w:szCs w:val="24"/>
        </w:rPr>
        <w:t>trattamento dei pazienti con inibitore del Fattore XIa.</w:t>
      </w:r>
    </w:p>
    <w:p w14:paraId="4D7F4272" w14:textId="77777777" w:rsidR="00A76244" w:rsidRDefault="00A76244" w:rsidP="00D62FAF">
      <w:pPr>
        <w:spacing w:after="0" w:line="240" w:lineRule="auto"/>
        <w:ind w:right="6"/>
        <w:jc w:val="both"/>
        <w:rPr>
          <w:rFonts w:cs="Calibri"/>
          <w:b/>
          <w:sz w:val="24"/>
          <w:szCs w:val="24"/>
        </w:rPr>
      </w:pPr>
    </w:p>
    <w:p w14:paraId="2624FC10" w14:textId="77777777" w:rsidR="00D62FAF" w:rsidRPr="00E07512" w:rsidRDefault="00D62FAF" w:rsidP="00D62FAF">
      <w:pPr>
        <w:spacing w:after="0" w:line="240" w:lineRule="auto"/>
        <w:ind w:right="6"/>
        <w:jc w:val="both"/>
        <w:rPr>
          <w:rFonts w:cs="Calibri"/>
          <w:b/>
          <w:sz w:val="24"/>
          <w:szCs w:val="24"/>
        </w:rPr>
      </w:pPr>
      <w:r w:rsidRPr="00E07512">
        <w:rPr>
          <w:rFonts w:cs="Calibri"/>
          <w:b/>
          <w:sz w:val="24"/>
          <w:szCs w:val="24"/>
        </w:rPr>
        <w:t>Posologia e modalità di somministrazione</w:t>
      </w:r>
    </w:p>
    <w:p w14:paraId="73E6B3D2" w14:textId="77777777" w:rsidR="00D62FAF" w:rsidRDefault="00D62FAF" w:rsidP="00D62FAF">
      <w:pPr>
        <w:spacing w:after="0" w:line="240" w:lineRule="auto"/>
        <w:ind w:right="6"/>
        <w:jc w:val="both"/>
        <w:rPr>
          <w:rStyle w:val="Collegamentoipertestuale"/>
          <w:rFonts w:cs="Calibri"/>
          <w:sz w:val="24"/>
          <w:szCs w:val="24"/>
          <w:lang w:eastAsia="it-IT"/>
        </w:rPr>
      </w:pPr>
      <w:r w:rsidRPr="00E07512">
        <w:rPr>
          <w:rFonts w:cs="Calibri"/>
          <w:sz w:val="24"/>
          <w:szCs w:val="24"/>
        </w:rPr>
        <w:t xml:space="preserve">Le informazioni sulla posologia e sulle modalità di somministrazione sono riportate nel Riassunto delle Caratteristiche del Prodotto pubblicato sul sito dell’Agenzia Italiana del Farmaco - </w:t>
      </w:r>
      <w:hyperlink r:id="rId9" w:anchor="/it/" w:history="1">
        <w:r w:rsidRPr="00E07512">
          <w:rPr>
            <w:rStyle w:val="Collegamentoipertestuale"/>
            <w:rFonts w:cs="Calibri"/>
            <w:sz w:val="24"/>
            <w:szCs w:val="24"/>
            <w:lang w:eastAsia="it-IT"/>
          </w:rPr>
          <w:t>https://medicinali.aifa.gov.it/it/#/it/</w:t>
        </w:r>
      </w:hyperlink>
    </w:p>
    <w:p w14:paraId="748D8076" w14:textId="77777777" w:rsidR="00193687" w:rsidRDefault="00193687" w:rsidP="00D62FAF">
      <w:pPr>
        <w:spacing w:after="0" w:line="240" w:lineRule="auto"/>
        <w:ind w:right="6"/>
        <w:jc w:val="both"/>
        <w:rPr>
          <w:rStyle w:val="Collegamentoipertestuale"/>
          <w:rFonts w:cs="Calibri"/>
          <w:sz w:val="24"/>
          <w:szCs w:val="24"/>
          <w:lang w:eastAsia="it-IT"/>
        </w:rPr>
      </w:pPr>
    </w:p>
    <w:p w14:paraId="738634C3" w14:textId="77777777" w:rsidR="00193687" w:rsidRPr="00E07512" w:rsidRDefault="00193687" w:rsidP="00193687">
      <w:pPr>
        <w:spacing w:after="0" w:line="240" w:lineRule="auto"/>
        <w:ind w:right="6"/>
        <w:jc w:val="both"/>
        <w:rPr>
          <w:rFonts w:eastAsia="Times New Roman" w:cs="Calibri"/>
          <w:b/>
          <w:sz w:val="24"/>
          <w:szCs w:val="24"/>
        </w:rPr>
      </w:pPr>
      <w:r w:rsidRPr="00E07512">
        <w:rPr>
          <w:rFonts w:eastAsia="Times New Roman" w:cs="Calibri"/>
          <w:b/>
          <w:sz w:val="24"/>
          <w:szCs w:val="24"/>
        </w:rPr>
        <w:t>Farmacologia clinica</w:t>
      </w:r>
    </w:p>
    <w:p w14:paraId="7EA30D74" w14:textId="49CFC568" w:rsidR="00193687" w:rsidRPr="00A2330F" w:rsidRDefault="00193687" w:rsidP="00193687">
      <w:pPr>
        <w:spacing w:after="0" w:line="240" w:lineRule="auto"/>
        <w:jc w:val="both"/>
        <w:rPr>
          <w:rFonts w:cs="Calibri"/>
          <w:sz w:val="24"/>
          <w:szCs w:val="24"/>
        </w:rPr>
      </w:pPr>
      <w:r w:rsidRPr="00A2330F">
        <w:rPr>
          <w:rFonts w:cs="Calibri"/>
          <w:sz w:val="24"/>
          <w:szCs w:val="24"/>
          <w:lang w:eastAsia="it-IT"/>
        </w:rPr>
        <w:t xml:space="preserve">La farmacologia clinica di </w:t>
      </w:r>
      <w:r w:rsidR="00125129" w:rsidRPr="00A2330F">
        <w:rPr>
          <w:rFonts w:cs="Calibri"/>
          <w:color w:val="000000"/>
          <w:sz w:val="24"/>
          <w:szCs w:val="24"/>
          <w:lang w:eastAsia="it-IT"/>
        </w:rPr>
        <w:t>F</w:t>
      </w:r>
      <w:r w:rsidR="00125129">
        <w:rPr>
          <w:rFonts w:cs="Calibri"/>
          <w:color w:val="000000"/>
          <w:sz w:val="24"/>
          <w:szCs w:val="24"/>
          <w:lang w:eastAsia="it-IT"/>
        </w:rPr>
        <w:t>EIBA</w:t>
      </w:r>
      <w:r w:rsidR="00864183" w:rsidRPr="00A2330F">
        <w:rPr>
          <w:rFonts w:cs="Calibri"/>
          <w:color w:val="000000"/>
          <w:sz w:val="24"/>
          <w:szCs w:val="24"/>
          <w:lang w:eastAsia="it-IT"/>
        </w:rPr>
        <w:t xml:space="preserve">, 100 UF/mL, polvere e solvente per soluzione per infusione, </w:t>
      </w:r>
      <w:r w:rsidRPr="00A2330F">
        <w:rPr>
          <w:rFonts w:cs="Calibri"/>
          <w:sz w:val="24"/>
          <w:szCs w:val="24"/>
          <w:lang w:eastAsia="it-IT"/>
        </w:rPr>
        <w:t>è ben conosciuta</w:t>
      </w:r>
      <w:r w:rsidR="00520ADB" w:rsidRPr="00A2330F">
        <w:rPr>
          <w:sz w:val="24"/>
          <w:szCs w:val="24"/>
        </w:rPr>
        <w:t xml:space="preserve"> </w:t>
      </w:r>
      <w:r w:rsidR="00D02630">
        <w:rPr>
          <w:sz w:val="24"/>
          <w:szCs w:val="24"/>
        </w:rPr>
        <w:t>in quanto</w:t>
      </w:r>
      <w:r w:rsidR="00D02630" w:rsidRPr="00A2330F">
        <w:rPr>
          <w:sz w:val="24"/>
          <w:szCs w:val="24"/>
        </w:rPr>
        <w:t xml:space="preserve"> </w:t>
      </w:r>
      <w:r w:rsidR="00520ADB" w:rsidRPr="00A2330F">
        <w:rPr>
          <w:sz w:val="24"/>
          <w:szCs w:val="24"/>
        </w:rPr>
        <w:t xml:space="preserve">il medicinale </w:t>
      </w:r>
      <w:r w:rsidRPr="00A2330F">
        <w:rPr>
          <w:rFonts w:cs="Calibri"/>
          <w:sz w:val="24"/>
          <w:szCs w:val="24"/>
        </w:rPr>
        <w:t xml:space="preserve">contiene principi attivi noti e presenti nel medicinale già autorizzato </w:t>
      </w:r>
      <w:r w:rsidR="00125129" w:rsidRPr="00A2330F">
        <w:rPr>
          <w:rFonts w:cs="Calibri"/>
          <w:sz w:val="24"/>
          <w:szCs w:val="24"/>
        </w:rPr>
        <w:t>FEIBA</w:t>
      </w:r>
      <w:r w:rsidRPr="00A2330F">
        <w:rPr>
          <w:rFonts w:cs="Calibri"/>
          <w:sz w:val="24"/>
          <w:szCs w:val="24"/>
        </w:rPr>
        <w:t>, 50 UF/mL, polvere e solvente per soluzione per infusione.</w:t>
      </w:r>
    </w:p>
    <w:p w14:paraId="50481BA4" w14:textId="77777777" w:rsidR="00D62FAF" w:rsidRDefault="00D62FAF" w:rsidP="00D62FAF">
      <w:pPr>
        <w:spacing w:after="0" w:line="240" w:lineRule="auto"/>
        <w:ind w:right="6"/>
        <w:jc w:val="both"/>
        <w:rPr>
          <w:rStyle w:val="Collegamentoipertestuale"/>
          <w:rFonts w:cs="Calibri"/>
          <w:sz w:val="24"/>
          <w:szCs w:val="24"/>
          <w:lang w:eastAsia="it-IT"/>
        </w:rPr>
      </w:pPr>
    </w:p>
    <w:p w14:paraId="79595032" w14:textId="77777777" w:rsidR="00D62FAF" w:rsidRPr="00E07512" w:rsidRDefault="00D62FAF" w:rsidP="00D62FAF">
      <w:pPr>
        <w:spacing w:after="0" w:line="240" w:lineRule="auto"/>
        <w:jc w:val="both"/>
        <w:rPr>
          <w:rFonts w:cs="Calibri"/>
          <w:b/>
          <w:sz w:val="24"/>
          <w:szCs w:val="24"/>
        </w:rPr>
      </w:pPr>
      <w:r w:rsidRPr="00E07512">
        <w:rPr>
          <w:rFonts w:cs="Calibri"/>
          <w:b/>
          <w:sz w:val="24"/>
          <w:szCs w:val="24"/>
        </w:rPr>
        <w:lastRenderedPageBreak/>
        <w:t>Efficacia e sicurezza clinica</w:t>
      </w:r>
    </w:p>
    <w:p w14:paraId="72668466" w14:textId="78B4BACB" w:rsidR="00D62FAF" w:rsidRPr="00F44B8C" w:rsidRDefault="00D62FAF" w:rsidP="00E35288">
      <w:pPr>
        <w:spacing w:after="0" w:line="240" w:lineRule="auto"/>
        <w:jc w:val="both"/>
        <w:rPr>
          <w:sz w:val="20"/>
          <w:szCs w:val="20"/>
        </w:rPr>
      </w:pPr>
      <w:r w:rsidRPr="00E07512">
        <w:rPr>
          <w:rFonts w:cs="Calibri"/>
          <w:sz w:val="24"/>
          <w:szCs w:val="24"/>
        </w:rPr>
        <w:t xml:space="preserve">Dal momento che la domanda è stata presentata come </w:t>
      </w:r>
      <w:r w:rsidRPr="00D62FAF">
        <w:rPr>
          <w:rFonts w:cs="Calibri"/>
          <w:i/>
          <w:sz w:val="24"/>
          <w:szCs w:val="24"/>
        </w:rPr>
        <w:t>line extension</w:t>
      </w:r>
      <w:r w:rsidRPr="00E07512">
        <w:rPr>
          <w:rFonts w:cs="Calibri"/>
          <w:sz w:val="24"/>
          <w:szCs w:val="24"/>
        </w:rPr>
        <w:t xml:space="preserve"> del medicinale autorizzato </w:t>
      </w:r>
      <w:r w:rsidR="00125129" w:rsidRPr="00E35288">
        <w:rPr>
          <w:rFonts w:cs="Calibri"/>
          <w:sz w:val="24"/>
          <w:szCs w:val="24"/>
        </w:rPr>
        <w:t>FEIBA</w:t>
      </w:r>
      <w:r w:rsidR="00BE41B4">
        <w:rPr>
          <w:rFonts w:cs="Calibri"/>
          <w:sz w:val="24"/>
          <w:szCs w:val="24"/>
        </w:rPr>
        <w:t xml:space="preserve"> alle concentrazioni di</w:t>
      </w:r>
      <w:r w:rsidR="00E35288" w:rsidRPr="00E35288">
        <w:rPr>
          <w:rFonts w:cs="Calibri"/>
          <w:sz w:val="24"/>
          <w:szCs w:val="24"/>
        </w:rPr>
        <w:t xml:space="preserve"> </w:t>
      </w:r>
      <w:r w:rsidR="00BE41B4">
        <w:rPr>
          <w:rFonts w:cs="Calibri"/>
          <w:sz w:val="24"/>
          <w:szCs w:val="24"/>
        </w:rPr>
        <w:t xml:space="preserve">25 UF/mL e </w:t>
      </w:r>
      <w:r w:rsidR="00E35288" w:rsidRPr="00E35288">
        <w:rPr>
          <w:rFonts w:cs="Calibri"/>
          <w:sz w:val="24"/>
          <w:szCs w:val="24"/>
        </w:rPr>
        <w:t xml:space="preserve">50 UF/mL, polvere e solvente per soluzione per infusione, disponibile </w:t>
      </w:r>
      <w:r w:rsidR="004C6004">
        <w:rPr>
          <w:rFonts w:cs="Calibri"/>
          <w:sz w:val="24"/>
          <w:szCs w:val="24"/>
        </w:rPr>
        <w:t xml:space="preserve">in Italia </w:t>
      </w:r>
      <w:r w:rsidR="00E35288" w:rsidRPr="00E35288">
        <w:rPr>
          <w:rFonts w:cs="Calibri"/>
          <w:sz w:val="24"/>
          <w:szCs w:val="24"/>
        </w:rPr>
        <w:t>al dosaggio finale della soluzione ricostituita per f</w:t>
      </w:r>
      <w:r w:rsidR="00431587">
        <w:rPr>
          <w:rFonts w:cs="Calibri"/>
          <w:sz w:val="24"/>
          <w:szCs w:val="24"/>
        </w:rPr>
        <w:t>laconcino</w:t>
      </w:r>
      <w:r w:rsidR="00E35288" w:rsidRPr="00E35288">
        <w:rPr>
          <w:rFonts w:cs="Calibri"/>
          <w:sz w:val="24"/>
          <w:szCs w:val="24"/>
        </w:rPr>
        <w:t xml:space="preserve"> di 500 UF</w:t>
      </w:r>
      <w:r w:rsidR="004C6004">
        <w:rPr>
          <w:rFonts w:cs="Calibri"/>
          <w:sz w:val="24"/>
          <w:szCs w:val="24"/>
        </w:rPr>
        <w:t xml:space="preserve"> e </w:t>
      </w:r>
      <w:r w:rsidR="00E35288" w:rsidRPr="00E35288">
        <w:rPr>
          <w:rFonts w:cs="Calibri"/>
          <w:sz w:val="24"/>
          <w:szCs w:val="24"/>
        </w:rPr>
        <w:t>1000 UF</w:t>
      </w:r>
      <w:r w:rsidR="004C6004">
        <w:rPr>
          <w:rFonts w:cs="Calibri"/>
          <w:sz w:val="24"/>
          <w:szCs w:val="24"/>
        </w:rPr>
        <w:t xml:space="preserve"> </w:t>
      </w:r>
      <w:r w:rsidR="00193687">
        <w:rPr>
          <w:rFonts w:cs="Calibri"/>
          <w:sz w:val="24"/>
          <w:szCs w:val="24"/>
        </w:rPr>
        <w:t>la S</w:t>
      </w:r>
      <w:r w:rsidRPr="00E07512">
        <w:rPr>
          <w:rFonts w:cs="Calibri"/>
          <w:sz w:val="24"/>
          <w:szCs w:val="24"/>
        </w:rPr>
        <w:t>ocietà ha fatto riferimento alla documentazione clinica già appro</w:t>
      </w:r>
      <w:r w:rsidR="00193687">
        <w:rPr>
          <w:rFonts w:cs="Calibri"/>
          <w:sz w:val="24"/>
          <w:szCs w:val="24"/>
        </w:rPr>
        <w:t>vata per il suddetto medicinale.</w:t>
      </w:r>
    </w:p>
    <w:p w14:paraId="61F22F2B" w14:textId="6448C007" w:rsidR="004016FF" w:rsidRPr="009D3B43" w:rsidRDefault="00E35288" w:rsidP="00E35288">
      <w:pPr>
        <w:autoSpaceDE w:val="0"/>
        <w:autoSpaceDN w:val="0"/>
        <w:adjustRightInd w:val="0"/>
        <w:spacing w:after="0" w:line="240" w:lineRule="auto"/>
        <w:jc w:val="both"/>
        <w:rPr>
          <w:rFonts w:cstheme="minorHAnsi"/>
          <w:sz w:val="24"/>
          <w:szCs w:val="24"/>
        </w:rPr>
      </w:pPr>
      <w:r>
        <w:rPr>
          <w:rFonts w:cstheme="minorHAnsi"/>
          <w:sz w:val="24"/>
          <w:szCs w:val="24"/>
        </w:rPr>
        <w:t xml:space="preserve">Considerato che </w:t>
      </w:r>
      <w:r w:rsidR="004016FF" w:rsidRPr="009D3B43">
        <w:rPr>
          <w:rFonts w:cstheme="minorHAnsi"/>
          <w:sz w:val="24"/>
          <w:szCs w:val="24"/>
        </w:rPr>
        <w:t xml:space="preserve">la composizione del prodotto ricostituito </w:t>
      </w:r>
      <w:r w:rsidR="00A419B5">
        <w:rPr>
          <w:rFonts w:cstheme="minorHAnsi"/>
          <w:sz w:val="24"/>
          <w:szCs w:val="24"/>
        </w:rPr>
        <w:t>è</w:t>
      </w:r>
      <w:r w:rsidR="00A419B5" w:rsidRPr="009D3B43">
        <w:rPr>
          <w:rFonts w:cstheme="minorHAnsi"/>
          <w:sz w:val="24"/>
          <w:szCs w:val="24"/>
        </w:rPr>
        <w:t xml:space="preserve"> </w:t>
      </w:r>
      <w:r w:rsidR="004016FF" w:rsidRPr="009D3B43">
        <w:rPr>
          <w:rFonts w:cstheme="minorHAnsi"/>
          <w:sz w:val="24"/>
          <w:szCs w:val="24"/>
        </w:rPr>
        <w:t>identic</w:t>
      </w:r>
      <w:r w:rsidR="00A419B5">
        <w:rPr>
          <w:rFonts w:cstheme="minorHAnsi"/>
          <w:sz w:val="24"/>
          <w:szCs w:val="24"/>
        </w:rPr>
        <w:t>a</w:t>
      </w:r>
      <w:r w:rsidR="004016FF" w:rsidRPr="009D3B43">
        <w:rPr>
          <w:rFonts w:cstheme="minorHAnsi"/>
          <w:sz w:val="24"/>
          <w:szCs w:val="24"/>
        </w:rPr>
        <w:t xml:space="preserve"> </w:t>
      </w:r>
      <w:r>
        <w:rPr>
          <w:rFonts w:cstheme="minorHAnsi"/>
          <w:sz w:val="24"/>
          <w:szCs w:val="24"/>
        </w:rPr>
        <w:t>fra</w:t>
      </w:r>
      <w:r w:rsidR="004016FF" w:rsidRPr="009D3B43">
        <w:rPr>
          <w:rFonts w:cstheme="minorHAnsi"/>
          <w:sz w:val="24"/>
          <w:szCs w:val="24"/>
        </w:rPr>
        <w:t xml:space="preserve"> la dose da 100 UF/mL e </w:t>
      </w:r>
      <w:r>
        <w:rPr>
          <w:rFonts w:cstheme="minorHAnsi"/>
          <w:sz w:val="24"/>
          <w:szCs w:val="24"/>
        </w:rPr>
        <w:t xml:space="preserve">la dose </w:t>
      </w:r>
      <w:r w:rsidR="004016FF" w:rsidRPr="009D3B43">
        <w:rPr>
          <w:rFonts w:cstheme="minorHAnsi"/>
          <w:sz w:val="24"/>
          <w:szCs w:val="24"/>
        </w:rPr>
        <w:t xml:space="preserve">già approvata da 50 UF/mL, i dati clinici già forniti nella licenza </w:t>
      </w:r>
      <w:r w:rsidR="00F87368" w:rsidRPr="009D3B43">
        <w:rPr>
          <w:rFonts w:cstheme="minorHAnsi"/>
          <w:sz w:val="24"/>
          <w:szCs w:val="24"/>
        </w:rPr>
        <w:t>originaria</w:t>
      </w:r>
      <w:r w:rsidR="004016FF" w:rsidRPr="009D3B43">
        <w:rPr>
          <w:rFonts w:cstheme="minorHAnsi"/>
          <w:sz w:val="24"/>
          <w:szCs w:val="24"/>
        </w:rPr>
        <w:t xml:space="preserve"> sono applicabili </w:t>
      </w:r>
      <w:r w:rsidR="00D02630">
        <w:rPr>
          <w:rFonts w:cstheme="minorHAnsi"/>
          <w:sz w:val="24"/>
          <w:szCs w:val="24"/>
        </w:rPr>
        <w:t>ad</w:t>
      </w:r>
      <w:r w:rsidR="00D02630" w:rsidRPr="009D3B43">
        <w:rPr>
          <w:rFonts w:cstheme="minorHAnsi"/>
          <w:sz w:val="24"/>
          <w:szCs w:val="24"/>
        </w:rPr>
        <w:t xml:space="preserve"> </w:t>
      </w:r>
      <w:r w:rsidR="004016FF" w:rsidRPr="009D3B43">
        <w:rPr>
          <w:rFonts w:cstheme="minorHAnsi"/>
          <w:sz w:val="24"/>
          <w:szCs w:val="24"/>
        </w:rPr>
        <w:t xml:space="preserve">entrambe le </w:t>
      </w:r>
      <w:r w:rsidR="00D02630">
        <w:rPr>
          <w:rFonts w:cstheme="minorHAnsi"/>
          <w:sz w:val="24"/>
          <w:szCs w:val="24"/>
        </w:rPr>
        <w:t>presentazioni</w:t>
      </w:r>
      <w:r w:rsidR="00D02630" w:rsidRPr="009D3B43">
        <w:rPr>
          <w:rFonts w:cstheme="minorHAnsi"/>
          <w:sz w:val="24"/>
          <w:szCs w:val="24"/>
        </w:rPr>
        <w:t xml:space="preserve"> </w:t>
      </w:r>
      <w:r w:rsidR="004016FF" w:rsidRPr="009D3B43">
        <w:rPr>
          <w:rFonts w:cstheme="minorHAnsi"/>
          <w:sz w:val="24"/>
          <w:szCs w:val="24"/>
        </w:rPr>
        <w:t xml:space="preserve">e supportano anche l'efficacia clinica e la sicurezza della nuova </w:t>
      </w:r>
      <w:r w:rsidR="00D02630">
        <w:rPr>
          <w:rFonts w:cstheme="minorHAnsi"/>
          <w:sz w:val="24"/>
          <w:szCs w:val="24"/>
        </w:rPr>
        <w:t>presentazion</w:t>
      </w:r>
      <w:r w:rsidR="00D02630" w:rsidRPr="009D3B43">
        <w:rPr>
          <w:rFonts w:cstheme="minorHAnsi"/>
          <w:sz w:val="24"/>
          <w:szCs w:val="24"/>
        </w:rPr>
        <w:t>e</w:t>
      </w:r>
      <w:r w:rsidR="004016FF" w:rsidRPr="009D3B43">
        <w:rPr>
          <w:rFonts w:cstheme="minorHAnsi"/>
          <w:sz w:val="24"/>
          <w:szCs w:val="24"/>
        </w:rPr>
        <w:t>.</w:t>
      </w:r>
    </w:p>
    <w:p w14:paraId="2308770A" w14:textId="7FE9360D" w:rsidR="004016FF" w:rsidRPr="009D3B43" w:rsidRDefault="00F87368" w:rsidP="00E35288">
      <w:pPr>
        <w:autoSpaceDE w:val="0"/>
        <w:autoSpaceDN w:val="0"/>
        <w:adjustRightInd w:val="0"/>
        <w:spacing w:after="0"/>
        <w:jc w:val="both"/>
        <w:rPr>
          <w:rFonts w:cstheme="minorHAnsi"/>
          <w:sz w:val="24"/>
          <w:szCs w:val="24"/>
        </w:rPr>
      </w:pPr>
      <w:r w:rsidRPr="009D3B43">
        <w:rPr>
          <w:rFonts w:cstheme="minorHAnsi"/>
          <w:sz w:val="24"/>
          <w:szCs w:val="24"/>
        </w:rPr>
        <w:t>In ogni caso</w:t>
      </w:r>
      <w:r w:rsidR="00D02630">
        <w:rPr>
          <w:rFonts w:cstheme="minorHAnsi"/>
          <w:sz w:val="24"/>
          <w:szCs w:val="24"/>
        </w:rPr>
        <w:t>,</w:t>
      </w:r>
      <w:r w:rsidRPr="009D3B43">
        <w:rPr>
          <w:rFonts w:cstheme="minorHAnsi"/>
          <w:sz w:val="24"/>
          <w:szCs w:val="24"/>
        </w:rPr>
        <w:t xml:space="preserve"> a</w:t>
      </w:r>
      <w:r w:rsidR="004016FF" w:rsidRPr="009D3B43">
        <w:rPr>
          <w:rFonts w:cstheme="minorHAnsi"/>
          <w:sz w:val="24"/>
          <w:szCs w:val="24"/>
        </w:rPr>
        <w:t xml:space="preserve"> supporto della procedura </w:t>
      </w:r>
      <w:r w:rsidR="00E35288">
        <w:rPr>
          <w:rFonts w:cstheme="minorHAnsi"/>
          <w:sz w:val="24"/>
          <w:szCs w:val="24"/>
        </w:rPr>
        <w:t xml:space="preserve">di </w:t>
      </w:r>
      <w:r w:rsidR="00E35288" w:rsidRPr="00E35288">
        <w:rPr>
          <w:rFonts w:cstheme="minorHAnsi"/>
          <w:i/>
          <w:sz w:val="24"/>
          <w:szCs w:val="24"/>
        </w:rPr>
        <w:t>line extension</w:t>
      </w:r>
      <w:r w:rsidR="00E35288">
        <w:rPr>
          <w:rFonts w:cstheme="minorHAnsi"/>
          <w:sz w:val="24"/>
          <w:szCs w:val="24"/>
        </w:rPr>
        <w:t xml:space="preserve"> </w:t>
      </w:r>
      <w:r w:rsidR="004016FF" w:rsidRPr="009D3B43">
        <w:rPr>
          <w:rFonts w:cstheme="minorHAnsi"/>
          <w:sz w:val="24"/>
          <w:szCs w:val="24"/>
        </w:rPr>
        <w:t>sono stati presentati tre studi clinici:</w:t>
      </w:r>
    </w:p>
    <w:p w14:paraId="16CB7C1F" w14:textId="77777777" w:rsidR="004016FF" w:rsidRPr="009D3B43" w:rsidRDefault="004016FF" w:rsidP="004016FF">
      <w:pPr>
        <w:autoSpaceDE w:val="0"/>
        <w:autoSpaceDN w:val="0"/>
        <w:adjustRightInd w:val="0"/>
        <w:spacing w:after="0"/>
        <w:ind w:firstLine="360"/>
        <w:jc w:val="both"/>
        <w:rPr>
          <w:rFonts w:cstheme="minorHAnsi"/>
          <w:sz w:val="24"/>
          <w:szCs w:val="24"/>
        </w:rPr>
      </w:pPr>
      <w:r w:rsidRPr="009D3B43">
        <w:rPr>
          <w:rFonts w:cstheme="minorHAnsi"/>
          <w:sz w:val="24"/>
          <w:szCs w:val="24"/>
        </w:rPr>
        <w:t xml:space="preserve">- FEIBA STAR (091501): Studio di fase 3b/4, prospettico, multicentrico, in aperto, randomizzato, cross-over di tollerabilità e sicurezza di </w:t>
      </w:r>
      <w:r w:rsidR="00125129" w:rsidRPr="009D3B43">
        <w:rPr>
          <w:rFonts w:cstheme="minorHAnsi"/>
          <w:sz w:val="24"/>
          <w:szCs w:val="24"/>
        </w:rPr>
        <w:t>F</w:t>
      </w:r>
      <w:r w:rsidR="00125129">
        <w:rPr>
          <w:rFonts w:cstheme="minorHAnsi"/>
          <w:sz w:val="24"/>
          <w:szCs w:val="24"/>
        </w:rPr>
        <w:t>EIBA</w:t>
      </w:r>
      <w:r w:rsidR="00E35288">
        <w:rPr>
          <w:rFonts w:cstheme="minorHAnsi"/>
          <w:sz w:val="24"/>
          <w:szCs w:val="24"/>
        </w:rPr>
        <w:t>, 100 UF/mL, polvere e solvente per soluzione per infusione,</w:t>
      </w:r>
      <w:r w:rsidRPr="009D3B43">
        <w:rPr>
          <w:rFonts w:cstheme="minorHAnsi"/>
          <w:sz w:val="24"/>
          <w:szCs w:val="24"/>
        </w:rPr>
        <w:t xml:space="preserve"> ricostituito in un volume regolare o in un volume ridotto del 50% e di velocità di infusione maggiori in pazienti con Emofilia A o B con inibitori.</w:t>
      </w:r>
    </w:p>
    <w:p w14:paraId="176581AA" w14:textId="77777777" w:rsidR="004016FF" w:rsidRPr="009D3B43" w:rsidRDefault="004016FF" w:rsidP="004016FF">
      <w:pPr>
        <w:autoSpaceDE w:val="0"/>
        <w:autoSpaceDN w:val="0"/>
        <w:adjustRightInd w:val="0"/>
        <w:spacing w:after="0"/>
        <w:ind w:firstLine="360"/>
        <w:jc w:val="both"/>
        <w:rPr>
          <w:rFonts w:cstheme="minorHAnsi"/>
          <w:sz w:val="24"/>
          <w:szCs w:val="24"/>
        </w:rPr>
      </w:pPr>
      <w:r w:rsidRPr="009D3B43">
        <w:rPr>
          <w:rFonts w:cstheme="minorHAnsi"/>
          <w:sz w:val="24"/>
          <w:szCs w:val="24"/>
        </w:rPr>
        <w:t>- FEIBA NF Prophilaxis Study (090701): Studio di fase III prospettico, in aperto, randomizzato, a gruppi paralleli per valutare l’efficacia e la sicurezza del trattamento profilattico vs quello on-demand in pazienti con Emofilia A o B con inibitori ad alto titolo.</w:t>
      </w:r>
    </w:p>
    <w:p w14:paraId="2C2C066A" w14:textId="77777777" w:rsidR="004016FF" w:rsidRDefault="004016FF" w:rsidP="009D3B43">
      <w:pPr>
        <w:autoSpaceDE w:val="0"/>
        <w:autoSpaceDN w:val="0"/>
        <w:adjustRightInd w:val="0"/>
        <w:spacing w:after="0"/>
        <w:ind w:firstLine="360"/>
        <w:jc w:val="both"/>
        <w:rPr>
          <w:rFonts w:cstheme="minorHAnsi"/>
          <w:sz w:val="24"/>
          <w:szCs w:val="24"/>
        </w:rPr>
      </w:pPr>
      <w:r w:rsidRPr="009D3B43">
        <w:rPr>
          <w:rFonts w:cstheme="minorHAnsi"/>
          <w:sz w:val="24"/>
          <w:szCs w:val="24"/>
        </w:rPr>
        <w:t>- PASS-EU-006: Studio post-autorizzativo in aperto, non controllato, non interventistico osservazionale per</w:t>
      </w:r>
      <w:r w:rsidR="009D3B43" w:rsidRPr="009D3B43">
        <w:rPr>
          <w:rFonts w:cstheme="minorHAnsi"/>
          <w:sz w:val="24"/>
          <w:szCs w:val="24"/>
        </w:rPr>
        <w:t xml:space="preserve"> </w:t>
      </w:r>
      <w:r w:rsidRPr="009D3B43">
        <w:rPr>
          <w:rFonts w:cstheme="minorHAnsi"/>
          <w:sz w:val="24"/>
          <w:szCs w:val="24"/>
        </w:rPr>
        <w:t xml:space="preserve">documentare l’uso di </w:t>
      </w:r>
      <w:r w:rsidR="00125129" w:rsidRPr="009D3B43">
        <w:rPr>
          <w:rFonts w:cstheme="minorHAnsi"/>
          <w:sz w:val="24"/>
          <w:szCs w:val="24"/>
        </w:rPr>
        <w:t>F</w:t>
      </w:r>
      <w:r w:rsidR="00125129">
        <w:rPr>
          <w:rFonts w:cstheme="minorHAnsi"/>
          <w:sz w:val="24"/>
          <w:szCs w:val="24"/>
        </w:rPr>
        <w:t>EIBA</w:t>
      </w:r>
      <w:r w:rsidRPr="009D3B43">
        <w:rPr>
          <w:rFonts w:cstheme="minorHAnsi"/>
          <w:sz w:val="24"/>
          <w:szCs w:val="24"/>
        </w:rPr>
        <w:t xml:space="preserve"> NF come agente bypassante gli inibitori nel trattamento al bisogno o profilattico e in interventi chirurgici, nella pratica quotidiana di routine.</w:t>
      </w:r>
    </w:p>
    <w:p w14:paraId="2FFED811" w14:textId="77777777" w:rsidR="009D3B43" w:rsidRDefault="009D3B43" w:rsidP="009D3B43">
      <w:pPr>
        <w:autoSpaceDE w:val="0"/>
        <w:autoSpaceDN w:val="0"/>
        <w:adjustRightInd w:val="0"/>
        <w:spacing w:after="0"/>
        <w:ind w:firstLine="360"/>
        <w:jc w:val="both"/>
        <w:rPr>
          <w:rFonts w:cstheme="minorHAnsi"/>
          <w:sz w:val="24"/>
          <w:szCs w:val="24"/>
        </w:rPr>
      </w:pPr>
    </w:p>
    <w:p w14:paraId="5EB3C98F" w14:textId="486EEDD7" w:rsidR="006727BD" w:rsidRPr="00A76244" w:rsidRDefault="009D3B43" w:rsidP="00A76244">
      <w:pPr>
        <w:autoSpaceDE w:val="0"/>
        <w:autoSpaceDN w:val="0"/>
        <w:adjustRightInd w:val="0"/>
        <w:spacing w:after="0"/>
        <w:jc w:val="both"/>
        <w:rPr>
          <w:rFonts w:cstheme="minorHAnsi"/>
          <w:sz w:val="24"/>
          <w:szCs w:val="24"/>
        </w:rPr>
      </w:pPr>
      <w:r>
        <w:rPr>
          <w:rFonts w:cstheme="minorHAnsi"/>
          <w:sz w:val="24"/>
          <w:szCs w:val="24"/>
        </w:rPr>
        <w:t xml:space="preserve">I risultati degli studi clinici </w:t>
      </w:r>
      <w:r w:rsidRPr="009D3B43">
        <w:rPr>
          <w:rFonts w:cstheme="minorHAnsi"/>
          <w:sz w:val="24"/>
          <w:szCs w:val="24"/>
        </w:rPr>
        <w:t xml:space="preserve">non </w:t>
      </w:r>
      <w:r>
        <w:rPr>
          <w:rFonts w:cstheme="minorHAnsi"/>
          <w:sz w:val="24"/>
          <w:szCs w:val="24"/>
        </w:rPr>
        <w:t>hanno evidenziato</w:t>
      </w:r>
      <w:r w:rsidRPr="009D3B43">
        <w:rPr>
          <w:rFonts w:cstheme="minorHAnsi"/>
          <w:sz w:val="24"/>
          <w:szCs w:val="24"/>
        </w:rPr>
        <w:t xml:space="preserve"> segnali di sicurezza inattesi; sia la </w:t>
      </w:r>
      <w:r w:rsidRPr="00A4704F">
        <w:rPr>
          <w:rFonts w:cstheme="minorHAnsi"/>
          <w:sz w:val="24"/>
          <w:szCs w:val="24"/>
        </w:rPr>
        <w:t>concentrazione</w:t>
      </w:r>
      <w:r w:rsidR="00A4704F">
        <w:rPr>
          <w:rFonts w:cstheme="minorHAnsi"/>
          <w:sz w:val="24"/>
          <w:szCs w:val="24"/>
        </w:rPr>
        <w:t xml:space="preserve"> </w:t>
      </w:r>
      <w:r w:rsidR="00A4704F" w:rsidRPr="003F47AD">
        <w:rPr>
          <w:rFonts w:cstheme="minorHAnsi"/>
          <w:sz w:val="24"/>
          <w:szCs w:val="24"/>
        </w:rPr>
        <w:t xml:space="preserve">maggiore, con volume di infusione ridotto, </w:t>
      </w:r>
      <w:r w:rsidRPr="003F47AD">
        <w:rPr>
          <w:rFonts w:cstheme="minorHAnsi"/>
          <w:sz w:val="24"/>
          <w:szCs w:val="24"/>
        </w:rPr>
        <w:t xml:space="preserve">che la </w:t>
      </w:r>
      <w:r w:rsidR="00746786" w:rsidRPr="0015644A">
        <w:rPr>
          <w:rFonts w:cstheme="minorHAnsi"/>
          <w:sz w:val="24"/>
          <w:szCs w:val="24"/>
        </w:rPr>
        <w:t>conseguente</w:t>
      </w:r>
      <w:r w:rsidR="00746786" w:rsidRPr="003F47AD">
        <w:rPr>
          <w:rFonts w:cstheme="minorHAnsi"/>
          <w:sz w:val="24"/>
          <w:szCs w:val="24"/>
        </w:rPr>
        <w:t xml:space="preserve"> </w:t>
      </w:r>
      <w:r w:rsidRPr="003F47AD">
        <w:rPr>
          <w:rFonts w:cstheme="minorHAnsi"/>
          <w:sz w:val="24"/>
          <w:szCs w:val="24"/>
        </w:rPr>
        <w:t>velocità di</w:t>
      </w:r>
      <w:r w:rsidRPr="009D3B43">
        <w:rPr>
          <w:rFonts w:cstheme="minorHAnsi"/>
          <w:sz w:val="24"/>
          <w:szCs w:val="24"/>
        </w:rPr>
        <w:t xml:space="preserve"> somministrazione aumentata </w:t>
      </w:r>
      <w:r w:rsidR="00E35288">
        <w:rPr>
          <w:rFonts w:cstheme="minorHAnsi"/>
          <w:sz w:val="24"/>
          <w:szCs w:val="24"/>
        </w:rPr>
        <w:t xml:space="preserve">di </w:t>
      </w:r>
      <w:r w:rsidR="00125129">
        <w:rPr>
          <w:rFonts w:cstheme="minorHAnsi"/>
          <w:sz w:val="24"/>
          <w:szCs w:val="24"/>
        </w:rPr>
        <w:t>FEIBA</w:t>
      </w:r>
      <w:r w:rsidR="00E35288">
        <w:rPr>
          <w:rFonts w:cstheme="minorHAnsi"/>
          <w:sz w:val="24"/>
          <w:szCs w:val="24"/>
        </w:rPr>
        <w:t xml:space="preserve">, 100 UF/mL, polvere e solvente per infusione, </w:t>
      </w:r>
      <w:r w:rsidRPr="009D3B43">
        <w:rPr>
          <w:rFonts w:cstheme="minorHAnsi"/>
          <w:sz w:val="24"/>
          <w:szCs w:val="24"/>
        </w:rPr>
        <w:t>sono state ben tollerate</w:t>
      </w:r>
      <w:r>
        <w:rPr>
          <w:rFonts w:cstheme="minorHAnsi"/>
          <w:sz w:val="24"/>
          <w:szCs w:val="24"/>
        </w:rPr>
        <w:t>.</w:t>
      </w:r>
    </w:p>
    <w:p w14:paraId="3248546F" w14:textId="77777777" w:rsidR="005049A1" w:rsidRPr="00FF13D1" w:rsidRDefault="005049A1" w:rsidP="00EF6711">
      <w:pPr>
        <w:spacing w:after="0" w:line="240" w:lineRule="auto"/>
        <w:jc w:val="both"/>
        <w:rPr>
          <w:rFonts w:cstheme="minorHAnsi"/>
          <w:sz w:val="24"/>
          <w:szCs w:val="24"/>
          <w:highlight w:val="cyan"/>
        </w:rPr>
      </w:pPr>
    </w:p>
    <w:p w14:paraId="1BDBE5DE" w14:textId="77777777" w:rsidR="004E5A39" w:rsidRPr="00FF13D1" w:rsidRDefault="004E5A39" w:rsidP="00EF6711">
      <w:pPr>
        <w:pStyle w:val="Paragrafoelenco"/>
        <w:spacing w:after="0" w:line="240" w:lineRule="auto"/>
        <w:ind w:left="0"/>
        <w:jc w:val="both"/>
        <w:rPr>
          <w:rFonts w:cstheme="minorHAnsi"/>
          <w:b/>
          <w:sz w:val="24"/>
          <w:szCs w:val="24"/>
        </w:rPr>
      </w:pPr>
      <w:r w:rsidRPr="00FF13D1">
        <w:rPr>
          <w:rFonts w:cstheme="minorHAnsi"/>
          <w:b/>
          <w:sz w:val="24"/>
          <w:szCs w:val="24"/>
        </w:rPr>
        <w:t>Piano di Valutazione del Rischio (</w:t>
      </w:r>
      <w:r w:rsidRPr="00FF13D1">
        <w:rPr>
          <w:rFonts w:cstheme="minorHAnsi"/>
          <w:b/>
          <w:i/>
          <w:sz w:val="24"/>
          <w:szCs w:val="24"/>
        </w:rPr>
        <w:t>Risk Management Plan</w:t>
      </w:r>
      <w:r w:rsidRPr="00FF13D1">
        <w:rPr>
          <w:rFonts w:cstheme="minorHAnsi"/>
          <w:b/>
          <w:sz w:val="24"/>
          <w:szCs w:val="24"/>
        </w:rPr>
        <w:t xml:space="preserve"> - RMP)</w:t>
      </w:r>
    </w:p>
    <w:p w14:paraId="5E0E2A52" w14:textId="62A720C1" w:rsidR="004E5A39" w:rsidRDefault="00F76F7C" w:rsidP="00EF6711">
      <w:pPr>
        <w:pStyle w:val="Paragrafoelenco"/>
        <w:spacing w:after="0" w:line="240" w:lineRule="auto"/>
        <w:ind w:left="0"/>
        <w:jc w:val="both"/>
        <w:rPr>
          <w:rFonts w:cstheme="minorHAnsi"/>
          <w:sz w:val="24"/>
          <w:szCs w:val="24"/>
        </w:rPr>
      </w:pPr>
      <w:r w:rsidRPr="00FF13D1">
        <w:rPr>
          <w:rFonts w:cstheme="minorHAnsi"/>
          <w:sz w:val="24"/>
          <w:szCs w:val="24"/>
        </w:rPr>
        <w:t>È</w:t>
      </w:r>
      <w:r w:rsidR="004E5A39" w:rsidRPr="00FF13D1">
        <w:rPr>
          <w:rFonts w:cstheme="minorHAnsi"/>
          <w:sz w:val="24"/>
          <w:szCs w:val="24"/>
        </w:rPr>
        <w:t xml:space="preserve"> stato presentato un RMP in accordo a quanto previsto dalla Direttiva 2001/83/EU s.m.i. che descrive le attività di farmacovigilanza e gli interventi definiti al fine di identificare, caratterizzare, prevenire o minimizzare i rischi collegati all’uso di </w:t>
      </w:r>
      <w:r w:rsidR="0090370C" w:rsidRPr="00FF13D1">
        <w:rPr>
          <w:rFonts w:eastAsia="Calibri" w:cstheme="minorHAnsi"/>
          <w:color w:val="000000"/>
          <w:sz w:val="24"/>
          <w:szCs w:val="24"/>
          <w:lang w:eastAsia="it-IT"/>
        </w:rPr>
        <w:t>F</w:t>
      </w:r>
      <w:r w:rsidR="00125129">
        <w:rPr>
          <w:rFonts w:eastAsia="Calibri" w:cstheme="minorHAnsi"/>
          <w:color w:val="000000"/>
          <w:sz w:val="24"/>
          <w:szCs w:val="24"/>
          <w:lang w:eastAsia="it-IT"/>
        </w:rPr>
        <w:t>EIBA</w:t>
      </w:r>
      <w:r w:rsidR="0090370C" w:rsidRPr="00FF13D1">
        <w:rPr>
          <w:rFonts w:eastAsia="Calibri" w:cstheme="minorHAnsi"/>
          <w:color w:val="000000"/>
          <w:sz w:val="24"/>
          <w:szCs w:val="24"/>
          <w:lang w:eastAsia="it-IT"/>
        </w:rPr>
        <w:t>, 100 UF/mL</w:t>
      </w:r>
      <w:r w:rsidR="00140BCC">
        <w:rPr>
          <w:rFonts w:cstheme="minorHAnsi"/>
          <w:sz w:val="24"/>
          <w:szCs w:val="24"/>
        </w:rPr>
        <w:t>, polvere e solvente per soluzione per infusione.</w:t>
      </w:r>
    </w:p>
    <w:p w14:paraId="607A803A" w14:textId="77777777" w:rsidR="00140BCC" w:rsidRDefault="00140BCC" w:rsidP="00EF6711">
      <w:pPr>
        <w:pStyle w:val="Paragrafoelenco"/>
        <w:spacing w:after="0" w:line="240" w:lineRule="auto"/>
        <w:ind w:left="0"/>
        <w:jc w:val="both"/>
        <w:rPr>
          <w:rFonts w:cstheme="minorHAnsi"/>
          <w:sz w:val="24"/>
          <w:szCs w:val="24"/>
        </w:rPr>
      </w:pPr>
      <w:r>
        <w:rPr>
          <w:rFonts w:cstheme="minorHAnsi"/>
          <w:sz w:val="24"/>
          <w:szCs w:val="24"/>
        </w:rPr>
        <w:t>Il riassunto delle problematiche di sicurezza è riportato nella tabella seguente:</w:t>
      </w:r>
    </w:p>
    <w:p w14:paraId="56961540" w14:textId="77777777" w:rsidR="00140BCC" w:rsidRDefault="00140BCC" w:rsidP="00EF6711">
      <w:pPr>
        <w:pStyle w:val="Paragrafoelenco"/>
        <w:spacing w:after="0" w:line="240" w:lineRule="auto"/>
        <w:ind w:left="0"/>
        <w:jc w:val="both"/>
        <w:rPr>
          <w:rFonts w:cstheme="minorHAnsi"/>
          <w:sz w:val="24"/>
          <w:szCs w:val="24"/>
        </w:rPr>
      </w:pPr>
    </w:p>
    <w:tbl>
      <w:tblPr>
        <w:tblW w:w="4443"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5E0" w:firstRow="1" w:lastRow="1" w:firstColumn="1" w:lastColumn="1" w:noHBand="0" w:noVBand="1"/>
      </w:tblPr>
      <w:tblGrid>
        <w:gridCol w:w="2732"/>
        <w:gridCol w:w="6024"/>
      </w:tblGrid>
      <w:tr w:rsidR="00140BCC" w:rsidRPr="00E07512" w14:paraId="6B8B0ED7" w14:textId="77777777" w:rsidTr="00281BC4">
        <w:trPr>
          <w:jc w:val="center"/>
        </w:trPr>
        <w:tc>
          <w:tcPr>
            <w:tcW w:w="1560" w:type="pct"/>
          </w:tcPr>
          <w:p w14:paraId="56BA0C78" w14:textId="77777777" w:rsidR="00140BCC" w:rsidRPr="00E07512" w:rsidRDefault="00140BCC" w:rsidP="00281BC4">
            <w:pPr>
              <w:pStyle w:val="TabletextrowsAgency"/>
              <w:spacing w:line="240" w:lineRule="auto"/>
              <w:jc w:val="both"/>
              <w:rPr>
                <w:rFonts w:ascii="Calibri" w:hAnsi="Calibri" w:cs="Calibri"/>
                <w:sz w:val="22"/>
                <w:szCs w:val="22"/>
                <w:lang w:eastAsia="en-GB"/>
              </w:rPr>
            </w:pPr>
            <w:r w:rsidRPr="00E07512">
              <w:rPr>
                <w:rFonts w:ascii="Calibri" w:hAnsi="Calibri" w:cs="Calibri"/>
                <w:sz w:val="22"/>
                <w:szCs w:val="22"/>
                <w:lang w:eastAsia="en-GB"/>
              </w:rPr>
              <w:t>Rischi importanti identificati</w:t>
            </w:r>
          </w:p>
        </w:tc>
        <w:tc>
          <w:tcPr>
            <w:tcW w:w="3440" w:type="pct"/>
          </w:tcPr>
          <w:p w14:paraId="3A7D37BA" w14:textId="55FBC58D" w:rsidR="00140BCC" w:rsidRDefault="00F601FF" w:rsidP="00CD336D">
            <w:pPr>
              <w:spacing w:after="0" w:line="240" w:lineRule="auto"/>
              <w:rPr>
                <w:rFonts w:cs="Calibri"/>
                <w:sz w:val="24"/>
                <w:szCs w:val="24"/>
              </w:rPr>
            </w:pPr>
            <w:r w:rsidRPr="00F601FF">
              <w:rPr>
                <w:rFonts w:cs="Calibri"/>
                <w:sz w:val="24"/>
                <w:szCs w:val="24"/>
              </w:rPr>
              <w:t>Eventi trombotici e tromboembolici (</w:t>
            </w:r>
            <w:r w:rsidR="006525A6">
              <w:rPr>
                <w:rFonts w:cs="Calibri"/>
                <w:sz w:val="24"/>
                <w:szCs w:val="24"/>
              </w:rPr>
              <w:t>tra cui</w:t>
            </w:r>
            <w:r w:rsidR="006525A6" w:rsidRPr="00F601FF">
              <w:rPr>
                <w:rFonts w:cs="Calibri"/>
                <w:sz w:val="24"/>
                <w:szCs w:val="24"/>
              </w:rPr>
              <w:t xml:space="preserve"> </w:t>
            </w:r>
            <w:r w:rsidRPr="00F601FF">
              <w:rPr>
                <w:rFonts w:cs="Calibri"/>
                <w:sz w:val="24"/>
                <w:szCs w:val="24"/>
              </w:rPr>
              <w:t>coagulazione intravascolare disseminata (CID), infarto miocardico, trombosi venosa, embolia polmonare e ictus)</w:t>
            </w:r>
          </w:p>
          <w:p w14:paraId="70CFB621" w14:textId="77777777" w:rsidR="00F601FF" w:rsidRPr="00E07512" w:rsidRDefault="00F601FF" w:rsidP="00CD336D">
            <w:pPr>
              <w:spacing w:after="0" w:line="240" w:lineRule="auto"/>
              <w:rPr>
                <w:rFonts w:cs="Calibri"/>
                <w:sz w:val="24"/>
                <w:szCs w:val="24"/>
              </w:rPr>
            </w:pPr>
          </w:p>
        </w:tc>
      </w:tr>
      <w:tr w:rsidR="00140BCC" w:rsidRPr="00E07512" w14:paraId="1143D328" w14:textId="77777777" w:rsidTr="00281BC4">
        <w:trPr>
          <w:jc w:val="center"/>
        </w:trPr>
        <w:tc>
          <w:tcPr>
            <w:tcW w:w="1560" w:type="pct"/>
            <w:tcBorders>
              <w:top w:val="single" w:sz="6" w:space="0" w:color="auto"/>
              <w:left w:val="single" w:sz="4" w:space="0" w:color="auto"/>
              <w:bottom w:val="single" w:sz="6" w:space="0" w:color="auto"/>
              <w:right w:val="single" w:sz="6" w:space="0" w:color="auto"/>
            </w:tcBorders>
          </w:tcPr>
          <w:p w14:paraId="50C53BE0" w14:textId="77777777" w:rsidR="00140BCC" w:rsidRPr="00E07512" w:rsidRDefault="00140BCC" w:rsidP="00281BC4">
            <w:pPr>
              <w:pStyle w:val="TabletextrowsAgency"/>
              <w:spacing w:line="240" w:lineRule="auto"/>
              <w:jc w:val="both"/>
              <w:rPr>
                <w:rFonts w:ascii="Calibri" w:hAnsi="Calibri" w:cs="Calibri"/>
                <w:sz w:val="22"/>
                <w:szCs w:val="22"/>
                <w:lang w:eastAsia="en-GB"/>
              </w:rPr>
            </w:pPr>
            <w:r w:rsidRPr="00E07512">
              <w:rPr>
                <w:rFonts w:ascii="Calibri" w:hAnsi="Calibri" w:cs="Calibri"/>
                <w:sz w:val="22"/>
                <w:szCs w:val="22"/>
                <w:lang w:eastAsia="en-GB"/>
              </w:rPr>
              <w:t>Rischi importanti potenziali</w:t>
            </w:r>
          </w:p>
        </w:tc>
        <w:tc>
          <w:tcPr>
            <w:tcW w:w="3440" w:type="pct"/>
            <w:tcBorders>
              <w:top w:val="single" w:sz="6" w:space="0" w:color="auto"/>
              <w:left w:val="single" w:sz="6" w:space="0" w:color="auto"/>
              <w:bottom w:val="single" w:sz="6" w:space="0" w:color="auto"/>
              <w:right w:val="single" w:sz="4" w:space="0" w:color="auto"/>
            </w:tcBorders>
          </w:tcPr>
          <w:p w14:paraId="3996DE43" w14:textId="77777777" w:rsidR="00140BCC" w:rsidRDefault="00F601FF" w:rsidP="00F601FF">
            <w:pPr>
              <w:spacing w:after="0" w:line="240" w:lineRule="auto"/>
              <w:rPr>
                <w:rFonts w:cs="Calibri"/>
                <w:sz w:val="24"/>
                <w:szCs w:val="24"/>
                <w:lang w:eastAsia="en-GB"/>
              </w:rPr>
            </w:pPr>
            <w:r w:rsidRPr="00F601FF">
              <w:rPr>
                <w:rFonts w:cs="Calibri"/>
                <w:sz w:val="24"/>
                <w:szCs w:val="24"/>
                <w:lang w:eastAsia="en-GB"/>
              </w:rPr>
              <w:t>Microangiopatia trombotica (TMA) con uso concomitante di emicizumab</w:t>
            </w:r>
          </w:p>
          <w:p w14:paraId="6BD97AAB" w14:textId="77777777" w:rsidR="00F601FF" w:rsidRPr="00E07512" w:rsidRDefault="00F601FF" w:rsidP="00F601FF">
            <w:pPr>
              <w:spacing w:after="0" w:line="240" w:lineRule="auto"/>
              <w:rPr>
                <w:rFonts w:cs="Calibri"/>
                <w:sz w:val="24"/>
                <w:szCs w:val="24"/>
                <w:lang w:eastAsia="en-GB"/>
              </w:rPr>
            </w:pPr>
          </w:p>
        </w:tc>
      </w:tr>
      <w:tr w:rsidR="00140BCC" w:rsidRPr="00E07512" w14:paraId="727EE4E8" w14:textId="77777777" w:rsidTr="00281BC4">
        <w:trPr>
          <w:jc w:val="center"/>
        </w:trPr>
        <w:tc>
          <w:tcPr>
            <w:tcW w:w="1560" w:type="pct"/>
            <w:tcBorders>
              <w:top w:val="single" w:sz="6" w:space="0" w:color="auto"/>
              <w:left w:val="single" w:sz="4" w:space="0" w:color="auto"/>
              <w:bottom w:val="single" w:sz="4" w:space="0" w:color="auto"/>
              <w:right w:val="single" w:sz="6" w:space="0" w:color="auto"/>
            </w:tcBorders>
          </w:tcPr>
          <w:p w14:paraId="720861B2" w14:textId="77777777" w:rsidR="00140BCC" w:rsidRPr="00E07512" w:rsidRDefault="00140BCC" w:rsidP="00281BC4">
            <w:pPr>
              <w:pStyle w:val="TabletextrowsAgency"/>
              <w:spacing w:line="240" w:lineRule="auto"/>
              <w:jc w:val="both"/>
              <w:rPr>
                <w:rFonts w:ascii="Calibri" w:hAnsi="Calibri" w:cs="Calibri"/>
                <w:sz w:val="22"/>
                <w:szCs w:val="22"/>
                <w:lang w:eastAsia="en-GB"/>
              </w:rPr>
            </w:pPr>
            <w:r w:rsidRPr="00E07512">
              <w:rPr>
                <w:rFonts w:ascii="Calibri" w:hAnsi="Calibri" w:cs="Calibri"/>
                <w:sz w:val="22"/>
                <w:szCs w:val="22"/>
                <w:lang w:eastAsia="en-GB"/>
              </w:rPr>
              <w:t>Informazioni mancanti</w:t>
            </w:r>
          </w:p>
        </w:tc>
        <w:tc>
          <w:tcPr>
            <w:tcW w:w="3440" w:type="pct"/>
            <w:tcBorders>
              <w:top w:val="single" w:sz="6" w:space="0" w:color="auto"/>
              <w:left w:val="single" w:sz="6" w:space="0" w:color="auto"/>
              <w:bottom w:val="single" w:sz="4" w:space="0" w:color="auto"/>
              <w:right w:val="single" w:sz="4" w:space="0" w:color="auto"/>
            </w:tcBorders>
          </w:tcPr>
          <w:p w14:paraId="4698E466" w14:textId="77777777" w:rsidR="004F3545" w:rsidRPr="00E07512" w:rsidRDefault="00CD336D" w:rsidP="00281BC4">
            <w:pPr>
              <w:spacing w:after="0" w:line="240" w:lineRule="auto"/>
              <w:rPr>
                <w:rFonts w:cs="Calibri"/>
                <w:sz w:val="24"/>
                <w:szCs w:val="24"/>
              </w:rPr>
            </w:pPr>
            <w:r>
              <w:rPr>
                <w:rFonts w:cs="Calibri"/>
                <w:sz w:val="24"/>
                <w:szCs w:val="24"/>
              </w:rPr>
              <w:t>Nessuna</w:t>
            </w:r>
          </w:p>
        </w:tc>
      </w:tr>
    </w:tbl>
    <w:p w14:paraId="09209FE8" w14:textId="77777777" w:rsidR="00140BCC" w:rsidRPr="00FF13D1" w:rsidRDefault="00140BCC" w:rsidP="00EF6711">
      <w:pPr>
        <w:pStyle w:val="Paragrafoelenco"/>
        <w:spacing w:after="0" w:line="240" w:lineRule="auto"/>
        <w:ind w:left="0"/>
        <w:jc w:val="both"/>
        <w:rPr>
          <w:rFonts w:cstheme="minorHAnsi"/>
          <w:sz w:val="24"/>
          <w:szCs w:val="24"/>
        </w:rPr>
      </w:pPr>
    </w:p>
    <w:p w14:paraId="43A33211" w14:textId="77777777" w:rsidR="004E5A39" w:rsidRPr="00FF13D1" w:rsidRDefault="004E5A39" w:rsidP="00EF6711">
      <w:pPr>
        <w:pStyle w:val="Paragrafoelenco"/>
        <w:spacing w:after="0" w:line="240" w:lineRule="auto"/>
        <w:ind w:left="0"/>
        <w:jc w:val="both"/>
        <w:rPr>
          <w:rFonts w:cstheme="minorHAnsi"/>
          <w:sz w:val="24"/>
          <w:szCs w:val="24"/>
        </w:rPr>
      </w:pPr>
      <w:r w:rsidRPr="00FF13D1">
        <w:rPr>
          <w:rFonts w:cstheme="minorHAnsi"/>
          <w:sz w:val="24"/>
          <w:szCs w:val="24"/>
        </w:rPr>
        <w:t>Azioni routinarie di farmacovigilanza e di minimizzazione del rischio sono proposte per tutte le problematiche di sicurezza.</w:t>
      </w:r>
    </w:p>
    <w:p w14:paraId="66C48526" w14:textId="5BF4055A" w:rsidR="004E5A39" w:rsidRPr="00FF13D1" w:rsidRDefault="004E5A39" w:rsidP="00EF6711">
      <w:pPr>
        <w:pStyle w:val="Paragrafoelenco"/>
        <w:spacing w:after="0" w:line="240" w:lineRule="auto"/>
        <w:ind w:left="0"/>
        <w:jc w:val="both"/>
        <w:rPr>
          <w:rFonts w:cstheme="minorHAnsi"/>
          <w:sz w:val="24"/>
          <w:szCs w:val="24"/>
        </w:rPr>
      </w:pPr>
      <w:r w:rsidRPr="00FF13D1">
        <w:rPr>
          <w:rFonts w:cstheme="minorHAnsi"/>
          <w:sz w:val="24"/>
          <w:szCs w:val="24"/>
        </w:rPr>
        <w:t xml:space="preserve">Oltre </w:t>
      </w:r>
      <w:r w:rsidR="00851BB5" w:rsidRPr="00FF13D1">
        <w:rPr>
          <w:rFonts w:cstheme="minorHAnsi"/>
          <w:sz w:val="24"/>
          <w:szCs w:val="24"/>
        </w:rPr>
        <w:t>al</w:t>
      </w:r>
      <w:r w:rsidRPr="00FF13D1">
        <w:rPr>
          <w:rFonts w:cstheme="minorHAnsi"/>
          <w:sz w:val="24"/>
          <w:szCs w:val="24"/>
        </w:rPr>
        <w:t>le misur</w:t>
      </w:r>
      <w:r w:rsidR="00851BB5" w:rsidRPr="00FF13D1">
        <w:rPr>
          <w:rFonts w:cstheme="minorHAnsi"/>
          <w:sz w:val="24"/>
          <w:szCs w:val="24"/>
        </w:rPr>
        <w:t>e previste nel Riassunto delle Caratteristiche del P</w:t>
      </w:r>
      <w:r w:rsidRPr="00FF13D1">
        <w:rPr>
          <w:rFonts w:cstheme="minorHAnsi"/>
          <w:sz w:val="24"/>
          <w:szCs w:val="24"/>
        </w:rPr>
        <w:t>rodotto</w:t>
      </w:r>
      <w:r w:rsidR="00612C40">
        <w:rPr>
          <w:rFonts w:cstheme="minorHAnsi"/>
          <w:sz w:val="24"/>
          <w:szCs w:val="24"/>
        </w:rPr>
        <w:t>,</w:t>
      </w:r>
      <w:r w:rsidRPr="00FF13D1">
        <w:rPr>
          <w:rFonts w:cstheme="minorHAnsi"/>
          <w:sz w:val="24"/>
          <w:szCs w:val="24"/>
        </w:rPr>
        <w:t xml:space="preserve"> non sono previste attività addizionali di minimizzazione del rischio</w:t>
      </w:r>
      <w:r w:rsidR="00D81532" w:rsidRPr="00FF13D1">
        <w:rPr>
          <w:rFonts w:cstheme="minorHAnsi"/>
          <w:sz w:val="24"/>
          <w:szCs w:val="24"/>
        </w:rPr>
        <w:t>.</w:t>
      </w:r>
    </w:p>
    <w:p w14:paraId="1C34EDE1" w14:textId="77777777" w:rsidR="004E5A39" w:rsidRPr="00FF13D1" w:rsidRDefault="003A0996" w:rsidP="00EF6711">
      <w:pPr>
        <w:pStyle w:val="Paragrafoelenco"/>
        <w:spacing w:after="0" w:line="240" w:lineRule="auto"/>
        <w:ind w:left="0"/>
        <w:jc w:val="both"/>
        <w:rPr>
          <w:rFonts w:cstheme="minorHAnsi"/>
          <w:sz w:val="24"/>
          <w:szCs w:val="24"/>
        </w:rPr>
      </w:pPr>
      <w:r>
        <w:rPr>
          <w:rFonts w:cstheme="minorHAnsi"/>
          <w:sz w:val="24"/>
          <w:szCs w:val="24"/>
        </w:rPr>
        <w:t xml:space="preserve">Per maggiori dettagli circa le attività di farmacovigilanza previste per </w:t>
      </w:r>
      <w:r w:rsidR="00B266FF">
        <w:rPr>
          <w:rFonts w:cstheme="minorHAnsi"/>
          <w:sz w:val="24"/>
          <w:szCs w:val="24"/>
        </w:rPr>
        <w:t>FEIBA</w:t>
      </w:r>
      <w:r>
        <w:rPr>
          <w:rFonts w:cstheme="minorHAnsi"/>
          <w:sz w:val="24"/>
          <w:szCs w:val="24"/>
        </w:rPr>
        <w:t xml:space="preserve">, 100 UF/mL, polvere e solvente per soluzione per infusione, si può consultare il “Summary RMP” allegato. </w:t>
      </w:r>
    </w:p>
    <w:p w14:paraId="359699DF" w14:textId="77777777" w:rsidR="00FF13D1" w:rsidRDefault="00FF13D1" w:rsidP="00EF6711">
      <w:pPr>
        <w:pStyle w:val="Paragrafoelenco"/>
        <w:spacing w:after="0" w:line="240" w:lineRule="auto"/>
        <w:ind w:left="0"/>
        <w:jc w:val="both"/>
        <w:rPr>
          <w:rFonts w:cstheme="minorHAnsi"/>
          <w:b/>
          <w:sz w:val="24"/>
          <w:szCs w:val="24"/>
        </w:rPr>
      </w:pPr>
    </w:p>
    <w:p w14:paraId="6D99BE46" w14:textId="77777777" w:rsidR="00FF13D1" w:rsidRPr="00FF13D1" w:rsidRDefault="004E5A39" w:rsidP="00EF6711">
      <w:pPr>
        <w:pStyle w:val="Paragrafoelenco"/>
        <w:spacing w:after="0" w:line="240" w:lineRule="auto"/>
        <w:ind w:left="0"/>
        <w:jc w:val="both"/>
        <w:rPr>
          <w:rFonts w:cstheme="minorHAnsi"/>
          <w:b/>
          <w:sz w:val="24"/>
          <w:szCs w:val="24"/>
        </w:rPr>
      </w:pPr>
      <w:r w:rsidRPr="00FF13D1">
        <w:rPr>
          <w:rFonts w:cstheme="minorHAnsi"/>
          <w:b/>
          <w:sz w:val="24"/>
          <w:szCs w:val="24"/>
        </w:rPr>
        <w:t>Conclusioni</w:t>
      </w:r>
    </w:p>
    <w:p w14:paraId="3E258176" w14:textId="77777777" w:rsidR="004E5A39" w:rsidRPr="00FF13D1" w:rsidRDefault="004E5A39" w:rsidP="00EF6711">
      <w:pPr>
        <w:pStyle w:val="Paragrafoelenco"/>
        <w:spacing w:after="0" w:line="240" w:lineRule="auto"/>
        <w:ind w:left="0"/>
        <w:jc w:val="both"/>
        <w:rPr>
          <w:rFonts w:cstheme="minorHAnsi"/>
          <w:sz w:val="24"/>
          <w:szCs w:val="24"/>
        </w:rPr>
      </w:pPr>
      <w:r w:rsidRPr="00FF13D1">
        <w:rPr>
          <w:rFonts w:cstheme="minorHAnsi"/>
          <w:sz w:val="24"/>
          <w:szCs w:val="24"/>
        </w:rPr>
        <w:t xml:space="preserve">Per la richiesta di AIC di </w:t>
      </w:r>
      <w:r w:rsidR="00125129" w:rsidRPr="00FF13D1">
        <w:rPr>
          <w:rFonts w:eastAsia="Calibri" w:cstheme="minorHAnsi"/>
          <w:color w:val="000000"/>
          <w:sz w:val="24"/>
          <w:szCs w:val="24"/>
          <w:lang w:eastAsia="it-IT"/>
        </w:rPr>
        <w:t>F</w:t>
      </w:r>
      <w:r w:rsidR="00125129">
        <w:rPr>
          <w:rFonts w:eastAsia="Calibri" w:cstheme="minorHAnsi"/>
          <w:color w:val="000000"/>
          <w:sz w:val="24"/>
          <w:szCs w:val="24"/>
          <w:lang w:eastAsia="it-IT"/>
        </w:rPr>
        <w:t>EIBA</w:t>
      </w:r>
      <w:r w:rsidR="00CB0348" w:rsidRPr="00FF13D1">
        <w:rPr>
          <w:rFonts w:eastAsia="Calibri" w:cstheme="minorHAnsi"/>
          <w:color w:val="000000"/>
          <w:sz w:val="24"/>
          <w:szCs w:val="24"/>
          <w:lang w:eastAsia="it-IT"/>
        </w:rPr>
        <w:t>, 100 UF/mL</w:t>
      </w:r>
      <w:r w:rsidR="00DF3A29" w:rsidRPr="00FF13D1">
        <w:rPr>
          <w:rFonts w:eastAsia="Calibri" w:cstheme="minorHAnsi"/>
          <w:color w:val="000000"/>
          <w:sz w:val="24"/>
          <w:szCs w:val="24"/>
          <w:lang w:eastAsia="it-IT"/>
        </w:rPr>
        <w:t>,</w:t>
      </w:r>
      <w:r w:rsidR="00CB0348" w:rsidRPr="00FF13D1">
        <w:rPr>
          <w:rFonts w:eastAsia="Calibri" w:cstheme="minorHAnsi"/>
          <w:color w:val="000000"/>
          <w:sz w:val="24"/>
          <w:szCs w:val="24"/>
          <w:lang w:eastAsia="it-IT"/>
        </w:rPr>
        <w:t xml:space="preserve"> </w:t>
      </w:r>
      <w:r w:rsidR="00646A5B">
        <w:rPr>
          <w:rFonts w:eastAsia="Calibri" w:cstheme="minorHAnsi"/>
          <w:color w:val="000000"/>
          <w:sz w:val="24"/>
          <w:szCs w:val="24"/>
          <w:lang w:eastAsia="it-IT"/>
        </w:rPr>
        <w:t>polvere e solvente p</w:t>
      </w:r>
      <w:r w:rsidR="008F7243">
        <w:rPr>
          <w:rFonts w:eastAsia="Calibri" w:cstheme="minorHAnsi"/>
          <w:color w:val="000000"/>
          <w:sz w:val="24"/>
          <w:szCs w:val="24"/>
          <w:lang w:eastAsia="it-IT"/>
        </w:rPr>
        <w:t>er soluzione p</w:t>
      </w:r>
      <w:r w:rsidR="00646A5B">
        <w:rPr>
          <w:rFonts w:eastAsia="Calibri" w:cstheme="minorHAnsi"/>
          <w:color w:val="000000"/>
          <w:sz w:val="24"/>
          <w:szCs w:val="24"/>
          <w:lang w:eastAsia="it-IT"/>
        </w:rPr>
        <w:t xml:space="preserve">er infusione, </w:t>
      </w:r>
      <w:r w:rsidRPr="00FF13D1">
        <w:rPr>
          <w:rFonts w:cstheme="minorHAnsi"/>
          <w:sz w:val="24"/>
          <w:szCs w:val="24"/>
        </w:rPr>
        <w:t>sono state presentate sufficienti informazioni cliniche.</w:t>
      </w:r>
    </w:p>
    <w:p w14:paraId="3FE4536D" w14:textId="77777777" w:rsidR="004E5A39" w:rsidRPr="00FF13D1" w:rsidRDefault="004E5A39" w:rsidP="00EF6711">
      <w:pPr>
        <w:pStyle w:val="Paragrafoelenco"/>
        <w:spacing w:after="0" w:line="240" w:lineRule="auto"/>
        <w:ind w:left="0"/>
        <w:jc w:val="both"/>
        <w:rPr>
          <w:rFonts w:cstheme="minorHAnsi"/>
          <w:sz w:val="24"/>
          <w:szCs w:val="24"/>
        </w:rPr>
      </w:pPr>
      <w:r w:rsidRPr="00FF13D1">
        <w:rPr>
          <w:rFonts w:cstheme="minorHAnsi"/>
          <w:sz w:val="24"/>
          <w:szCs w:val="24"/>
        </w:rPr>
        <w:t>Il rapporto beneficio/rischio è considerato favorevole dal punto di vista clinico.</w:t>
      </w:r>
    </w:p>
    <w:p w14:paraId="356141FB" w14:textId="77777777" w:rsidR="004E5A39" w:rsidRPr="00FF13D1" w:rsidRDefault="004E5A39" w:rsidP="00EF6711">
      <w:pPr>
        <w:pStyle w:val="Paragrafoelenco"/>
        <w:spacing w:after="0" w:line="240" w:lineRule="auto"/>
        <w:ind w:left="0"/>
        <w:jc w:val="both"/>
        <w:rPr>
          <w:rFonts w:cstheme="minorHAnsi"/>
          <w:sz w:val="24"/>
          <w:szCs w:val="24"/>
        </w:rPr>
      </w:pPr>
    </w:p>
    <w:p w14:paraId="6F2D1BAA" w14:textId="77777777" w:rsidR="004E5A39" w:rsidRPr="00FF13D1" w:rsidRDefault="004E5A39" w:rsidP="00EF6711">
      <w:pPr>
        <w:pStyle w:val="Paragrafoelenco"/>
        <w:spacing w:after="0" w:line="240" w:lineRule="auto"/>
        <w:ind w:left="0"/>
        <w:jc w:val="both"/>
        <w:rPr>
          <w:rFonts w:cstheme="minorHAnsi"/>
          <w:sz w:val="24"/>
          <w:szCs w:val="24"/>
        </w:rPr>
      </w:pPr>
    </w:p>
    <w:p w14:paraId="308B2EA9" w14:textId="77777777" w:rsidR="004E5A39" w:rsidRPr="00FF13D1" w:rsidRDefault="004E5A39" w:rsidP="00EF6711">
      <w:pPr>
        <w:pStyle w:val="Paragrafoelenco"/>
        <w:numPr>
          <w:ilvl w:val="0"/>
          <w:numId w:val="2"/>
        </w:numPr>
        <w:spacing w:after="0" w:line="240" w:lineRule="auto"/>
        <w:jc w:val="both"/>
        <w:rPr>
          <w:rFonts w:cstheme="minorHAnsi"/>
          <w:b/>
          <w:sz w:val="24"/>
          <w:szCs w:val="24"/>
        </w:rPr>
      </w:pPr>
      <w:r w:rsidRPr="00FF13D1">
        <w:rPr>
          <w:rFonts w:cstheme="minorHAnsi"/>
          <w:b/>
          <w:sz w:val="24"/>
          <w:szCs w:val="24"/>
        </w:rPr>
        <w:t>CONSULTAZIONE SUL FOGLIO ILLUSTRATIVO</w:t>
      </w:r>
    </w:p>
    <w:p w14:paraId="6689E46E" w14:textId="7685161C" w:rsidR="004E5A39" w:rsidRPr="00FF13D1" w:rsidRDefault="004E5A39" w:rsidP="00EF6711">
      <w:pPr>
        <w:spacing w:after="0" w:line="240" w:lineRule="auto"/>
        <w:jc w:val="both"/>
        <w:rPr>
          <w:rFonts w:cstheme="minorHAnsi"/>
          <w:sz w:val="24"/>
          <w:szCs w:val="24"/>
        </w:rPr>
      </w:pPr>
      <w:r w:rsidRPr="00FF13D1">
        <w:rPr>
          <w:rFonts w:cstheme="minorHAnsi"/>
          <w:sz w:val="24"/>
          <w:szCs w:val="24"/>
        </w:rPr>
        <w:t>Il foglio illustrativo è stato sottoposto al test di leggibilità in accordo ai requisiti dell’art. 59(3) e 61(1) della direttiva 2001/83/EU s.m.i.</w:t>
      </w:r>
      <w:r w:rsidR="00F76F7C">
        <w:rPr>
          <w:rFonts w:cstheme="minorHAnsi"/>
          <w:sz w:val="24"/>
          <w:szCs w:val="24"/>
        </w:rPr>
        <w:t>;</w:t>
      </w:r>
      <w:r w:rsidRPr="00FF13D1">
        <w:rPr>
          <w:rFonts w:cstheme="minorHAnsi"/>
          <w:sz w:val="24"/>
          <w:szCs w:val="24"/>
        </w:rPr>
        <w:t xml:space="preserve"> i risultati del test hanno dimostrato che il foglio illustrativo corrisponde ai criteri imposti dalla linea guida sulla leggibilità di etichetta e foglio illustrativo dei medicinali per uso umano.</w:t>
      </w:r>
    </w:p>
    <w:p w14:paraId="530D4466" w14:textId="77777777" w:rsidR="004E5A39" w:rsidRPr="00FF13D1" w:rsidRDefault="004E5A39" w:rsidP="00EF6711">
      <w:pPr>
        <w:pStyle w:val="Paragrafoelenco"/>
        <w:spacing w:after="0" w:line="240" w:lineRule="auto"/>
        <w:ind w:left="0"/>
        <w:jc w:val="both"/>
        <w:rPr>
          <w:rFonts w:cstheme="minorHAnsi"/>
          <w:sz w:val="24"/>
          <w:szCs w:val="24"/>
        </w:rPr>
      </w:pPr>
    </w:p>
    <w:p w14:paraId="3F05E13C" w14:textId="77777777" w:rsidR="004E5A39" w:rsidRPr="00FF13D1" w:rsidRDefault="004E5A39" w:rsidP="00EF6711">
      <w:pPr>
        <w:spacing w:after="0" w:line="240" w:lineRule="auto"/>
        <w:jc w:val="both"/>
        <w:rPr>
          <w:rFonts w:cstheme="minorHAnsi"/>
          <w:sz w:val="24"/>
          <w:szCs w:val="24"/>
        </w:rPr>
      </w:pPr>
    </w:p>
    <w:p w14:paraId="5F9E8F04" w14:textId="77777777" w:rsidR="004E5A39" w:rsidRPr="00FF13D1" w:rsidRDefault="004E5A39" w:rsidP="00EF6711">
      <w:pPr>
        <w:pStyle w:val="Paragrafoelenco"/>
        <w:numPr>
          <w:ilvl w:val="0"/>
          <w:numId w:val="2"/>
        </w:numPr>
        <w:spacing w:after="0" w:line="240" w:lineRule="auto"/>
        <w:jc w:val="both"/>
        <w:rPr>
          <w:rFonts w:cstheme="minorHAnsi"/>
          <w:b/>
          <w:sz w:val="24"/>
          <w:szCs w:val="24"/>
        </w:rPr>
      </w:pPr>
      <w:r w:rsidRPr="00FF13D1">
        <w:rPr>
          <w:rFonts w:cstheme="minorHAnsi"/>
          <w:b/>
          <w:sz w:val="24"/>
          <w:szCs w:val="24"/>
        </w:rPr>
        <w:t>CONCLUSIONI, VALUTAZIONE DEL RAPPORTO BENEFICIO/RISCHIO E RACCOMANDAZIONI</w:t>
      </w:r>
    </w:p>
    <w:p w14:paraId="60E16C96" w14:textId="77777777" w:rsidR="00013723" w:rsidRDefault="004E5A39" w:rsidP="00EF6711">
      <w:pPr>
        <w:spacing w:after="0" w:line="240" w:lineRule="auto"/>
        <w:jc w:val="both"/>
        <w:rPr>
          <w:rFonts w:cstheme="minorHAnsi"/>
          <w:sz w:val="24"/>
          <w:szCs w:val="24"/>
        </w:rPr>
      </w:pPr>
      <w:r w:rsidRPr="00FF13D1">
        <w:rPr>
          <w:rFonts w:cstheme="minorHAnsi"/>
          <w:sz w:val="24"/>
          <w:szCs w:val="24"/>
        </w:rPr>
        <w:t xml:space="preserve">La qualità di </w:t>
      </w:r>
      <w:r w:rsidR="00B266FF" w:rsidRPr="00FF13D1">
        <w:rPr>
          <w:rFonts w:eastAsia="Calibri" w:cstheme="minorHAnsi"/>
          <w:color w:val="000000"/>
          <w:sz w:val="24"/>
          <w:szCs w:val="24"/>
          <w:lang w:eastAsia="it-IT"/>
        </w:rPr>
        <w:t>FEIBA</w:t>
      </w:r>
      <w:r w:rsidR="00116863" w:rsidRPr="00FF13D1">
        <w:rPr>
          <w:rFonts w:eastAsia="Calibri" w:cstheme="minorHAnsi"/>
          <w:color w:val="000000"/>
          <w:sz w:val="24"/>
          <w:szCs w:val="24"/>
          <w:lang w:eastAsia="it-IT"/>
        </w:rPr>
        <w:t>, 100 UF/mL</w:t>
      </w:r>
      <w:r w:rsidR="00FF13D1">
        <w:rPr>
          <w:rFonts w:eastAsia="Calibri" w:cstheme="minorHAnsi"/>
          <w:color w:val="000000"/>
          <w:sz w:val="24"/>
          <w:szCs w:val="24"/>
          <w:lang w:eastAsia="it-IT"/>
        </w:rPr>
        <w:t xml:space="preserve">, polvere e solvente </w:t>
      </w:r>
      <w:r w:rsidR="005C1F33">
        <w:rPr>
          <w:rFonts w:eastAsia="Calibri" w:cstheme="minorHAnsi"/>
          <w:color w:val="000000"/>
          <w:sz w:val="24"/>
          <w:szCs w:val="24"/>
          <w:lang w:eastAsia="it-IT"/>
        </w:rPr>
        <w:t xml:space="preserve">per soluzione </w:t>
      </w:r>
      <w:r w:rsidR="00FF13D1">
        <w:rPr>
          <w:rFonts w:eastAsia="Calibri" w:cstheme="minorHAnsi"/>
          <w:color w:val="000000"/>
          <w:sz w:val="24"/>
          <w:szCs w:val="24"/>
          <w:lang w:eastAsia="it-IT"/>
        </w:rPr>
        <w:t>per infusione,</w:t>
      </w:r>
      <w:r w:rsidR="00BE7CDB" w:rsidRPr="00FF13D1">
        <w:rPr>
          <w:rFonts w:eastAsia="Calibri" w:cstheme="minorHAnsi"/>
          <w:color w:val="000000"/>
          <w:sz w:val="24"/>
          <w:szCs w:val="24"/>
          <w:lang w:eastAsia="it-IT"/>
        </w:rPr>
        <w:t xml:space="preserve"> </w:t>
      </w:r>
      <w:r w:rsidRPr="00FF13D1">
        <w:rPr>
          <w:rFonts w:cstheme="minorHAnsi"/>
          <w:sz w:val="24"/>
          <w:szCs w:val="24"/>
        </w:rPr>
        <w:t>è accettabile e non sono state rilevate criticità da un punto di vista non clinico e clinico.</w:t>
      </w:r>
    </w:p>
    <w:p w14:paraId="430F920E" w14:textId="77777777" w:rsidR="004E5A39" w:rsidRPr="00FF13D1" w:rsidRDefault="004E5A39" w:rsidP="00EF6711">
      <w:pPr>
        <w:spacing w:after="0" w:line="240" w:lineRule="auto"/>
        <w:jc w:val="both"/>
        <w:rPr>
          <w:rFonts w:cstheme="minorHAnsi"/>
          <w:sz w:val="24"/>
          <w:szCs w:val="24"/>
        </w:rPr>
      </w:pPr>
      <w:r w:rsidRPr="00FF13D1">
        <w:rPr>
          <w:rFonts w:cstheme="minorHAnsi"/>
          <w:sz w:val="24"/>
          <w:szCs w:val="24"/>
        </w:rPr>
        <w:t>Il rapporto beneficio</w:t>
      </w:r>
      <w:r w:rsidR="00FF13D1">
        <w:rPr>
          <w:rFonts w:cstheme="minorHAnsi"/>
          <w:sz w:val="24"/>
          <w:szCs w:val="24"/>
        </w:rPr>
        <w:t>/rischio è considerato favorevole per l’autorizzazione all’immissione in commercio.</w:t>
      </w:r>
    </w:p>
    <w:p w14:paraId="4762FB93" w14:textId="77777777" w:rsidR="00FF13D1" w:rsidRPr="00E07512" w:rsidRDefault="00FF13D1" w:rsidP="00FF13D1">
      <w:pPr>
        <w:spacing w:after="0" w:line="240" w:lineRule="auto"/>
        <w:jc w:val="both"/>
        <w:rPr>
          <w:rFonts w:cs="Calibri"/>
          <w:sz w:val="24"/>
          <w:szCs w:val="24"/>
        </w:rPr>
      </w:pPr>
      <w:r w:rsidRPr="00E07512">
        <w:rPr>
          <w:rFonts w:cs="Calibri"/>
          <w:sz w:val="24"/>
          <w:szCs w:val="24"/>
        </w:rPr>
        <w:t xml:space="preserve">Il riassunto delle caratteristiche del prodotto, il foglio illustrativo e le etichette sono in linea con le vigenti linee guida e raccomandazioni italiane ed europee. </w:t>
      </w:r>
    </w:p>
    <w:p w14:paraId="3B5A2419" w14:textId="77777777" w:rsidR="006B311C" w:rsidRPr="00FF13D1" w:rsidRDefault="00FF13D1" w:rsidP="00FF13D1">
      <w:pPr>
        <w:spacing w:after="0" w:line="240" w:lineRule="auto"/>
        <w:jc w:val="both"/>
        <w:rPr>
          <w:rFonts w:eastAsia="Calibri" w:cstheme="minorHAnsi"/>
          <w:sz w:val="24"/>
          <w:szCs w:val="24"/>
          <w:lang w:eastAsia="it-IT"/>
        </w:rPr>
      </w:pPr>
      <w:r w:rsidRPr="00E07512">
        <w:rPr>
          <w:rFonts w:cs="Calibri"/>
          <w:sz w:val="24"/>
          <w:szCs w:val="24"/>
        </w:rPr>
        <w:t xml:space="preserve">Questi documenti possono essere consultati sul sito istituzionale di AIFA </w:t>
      </w:r>
      <w:hyperlink r:id="rId10" w:anchor="/it/" w:history="1">
        <w:r w:rsidRPr="00E07512">
          <w:rPr>
            <w:rStyle w:val="Collegamentoipertestuale"/>
            <w:rFonts w:cs="Calibri"/>
            <w:sz w:val="24"/>
            <w:szCs w:val="24"/>
          </w:rPr>
          <w:t>https://medicinali.aifa.gov.it/it/#/it/</w:t>
        </w:r>
      </w:hyperlink>
    </w:p>
    <w:sectPr w:rsidR="006B311C" w:rsidRPr="00FF13D1" w:rsidSect="00EF6711">
      <w:pgSz w:w="11906" w:h="16838"/>
      <w:pgMar w:top="1418" w:right="1021" w:bottom="1021" w:left="102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0157521" w16cex:dateUtc="2026-06-15T12:42:00Z"/>
  <w16cex:commentExtensible w16cex:durableId="726AEC37" w16cex:dateUtc="2026-06-15T12:54:00Z"/>
  <w16cex:commentExtensible w16cex:durableId="27184075" w16cex:dateUtc="2026-06-15T12: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6FC9CB0" w16cid:durableId="00157521"/>
  <w16cid:commentId w16cid:paraId="2484CB91" w16cid:durableId="726AEC37"/>
  <w16cid:commentId w16cid:paraId="733AC785" w16cid:durableId="27184075"/>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DejaVuSans">
    <w:altName w:val="MS Mincho"/>
    <w:panose1 w:val="00000000000000000000"/>
    <w:charset w:val="80"/>
    <w:family w:val="auto"/>
    <w:notTrueType/>
    <w:pitch w:val="default"/>
    <w:sig w:usb0="00000003" w:usb1="08070000" w:usb2="00000010" w:usb3="00000000" w:csb0="00020001" w:csb1="00000000"/>
  </w:font>
  <w:font w:name="Aptos">
    <w:altName w:val="Arial"/>
    <w:charset w:val="00"/>
    <w:family w:val="swiss"/>
    <w:pitch w:val="variable"/>
    <w:sig w:usb0="00000001"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34BB7"/>
    <w:multiLevelType w:val="singleLevel"/>
    <w:tmpl w:val="75281970"/>
    <w:lvl w:ilvl="0">
      <w:numFmt w:val="bullet"/>
      <w:lvlText w:val="-"/>
      <w:lvlJc w:val="left"/>
      <w:pPr>
        <w:tabs>
          <w:tab w:val="num" w:pos="480"/>
        </w:tabs>
        <w:ind w:left="480" w:hanging="360"/>
      </w:pPr>
      <w:rPr>
        <w:rFonts w:hint="default"/>
      </w:rPr>
    </w:lvl>
  </w:abstractNum>
  <w:abstractNum w:abstractNumId="1" w15:restartNumberingAfterBreak="0">
    <w:nsid w:val="11C618AE"/>
    <w:multiLevelType w:val="hybridMultilevel"/>
    <w:tmpl w:val="E8C21BC0"/>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2EC26CC"/>
    <w:multiLevelType w:val="hybridMultilevel"/>
    <w:tmpl w:val="36DCEF52"/>
    <w:lvl w:ilvl="0" w:tplc="234A5AD8">
      <w:numFmt w:val="bullet"/>
      <w:lvlText w:val="-"/>
      <w:lvlJc w:val="left"/>
      <w:pPr>
        <w:ind w:left="684" w:hanging="567"/>
      </w:pPr>
      <w:rPr>
        <w:rFonts w:ascii="Times New Roman" w:eastAsia="Times New Roman" w:hAnsi="Times New Roman" w:cs="Times New Roman" w:hint="default"/>
        <w:w w:val="100"/>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E4D2955"/>
    <w:multiLevelType w:val="hybridMultilevel"/>
    <w:tmpl w:val="B7384DD2"/>
    <w:lvl w:ilvl="0" w:tplc="03F0863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43011A1"/>
    <w:multiLevelType w:val="hybridMultilevel"/>
    <w:tmpl w:val="1730E342"/>
    <w:lvl w:ilvl="0" w:tplc="C516861A">
      <w:start w:val="1"/>
      <w:numFmt w:val="upp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AB2382E"/>
    <w:multiLevelType w:val="hybridMultilevel"/>
    <w:tmpl w:val="F554422C"/>
    <w:lvl w:ilvl="0" w:tplc="0C789386">
      <w:start w:val="1"/>
      <w:numFmt w:val="bullet"/>
      <w:lvlText w:val=""/>
      <w:lvlJc w:val="left"/>
      <w:pPr>
        <w:ind w:left="720" w:hanging="360"/>
      </w:pPr>
      <w:rPr>
        <w:rFonts w:ascii="Symbol" w:eastAsia="Calibri" w:hAnsi="Symbol" w:cs="Calibri" w:hint="default"/>
        <w:b w:val="0"/>
        <w:color w:val="auto"/>
        <w:sz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2313D35"/>
    <w:multiLevelType w:val="hybridMultilevel"/>
    <w:tmpl w:val="00F2A5C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329F376D"/>
    <w:multiLevelType w:val="multilevel"/>
    <w:tmpl w:val="23560728"/>
    <w:lvl w:ilvl="0">
      <w:start w:val="6"/>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3503624C"/>
    <w:multiLevelType w:val="hybridMultilevel"/>
    <w:tmpl w:val="8604BA56"/>
    <w:lvl w:ilvl="0" w:tplc="4A48F9D2">
      <w:start w:val="1"/>
      <w:numFmt w:val="bullet"/>
      <w:lvlText w:val="-"/>
      <w:lvlJc w:val="left"/>
      <w:pPr>
        <w:ind w:left="720" w:hanging="360"/>
      </w:pPr>
      <w:rPr>
        <w:rFonts w:ascii="Calibri" w:eastAsia="Times New Roman" w:hAnsi="Calibri"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ED76CAA"/>
    <w:multiLevelType w:val="hybridMultilevel"/>
    <w:tmpl w:val="F934C462"/>
    <w:lvl w:ilvl="0" w:tplc="FFFFFFFF">
      <w:start w:val="1"/>
      <w:numFmt w:val="bullet"/>
      <w:lvlText w:val="-"/>
      <w:lvlJc w:val="left"/>
      <w:pPr>
        <w:ind w:left="720" w:hanging="360"/>
      </w:p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A891CF4"/>
    <w:multiLevelType w:val="hybridMultilevel"/>
    <w:tmpl w:val="8F2AE9FA"/>
    <w:lvl w:ilvl="0" w:tplc="FC389974">
      <w:start w:val="1"/>
      <w:numFmt w:val="upperRoman"/>
      <w:lvlText w:val="%1."/>
      <w:lvlJc w:val="left"/>
      <w:pPr>
        <w:ind w:left="1800" w:hanging="72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1" w15:restartNumberingAfterBreak="0">
    <w:nsid w:val="4AA444B2"/>
    <w:multiLevelType w:val="hybridMultilevel"/>
    <w:tmpl w:val="C4B2988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50D962BF"/>
    <w:multiLevelType w:val="hybridMultilevel"/>
    <w:tmpl w:val="F346811A"/>
    <w:lvl w:ilvl="0" w:tplc="234A5AD8">
      <w:numFmt w:val="bullet"/>
      <w:lvlText w:val="-"/>
      <w:lvlJc w:val="left"/>
      <w:pPr>
        <w:ind w:left="684" w:hanging="567"/>
      </w:pPr>
      <w:rPr>
        <w:rFonts w:ascii="Times New Roman" w:eastAsia="Times New Roman" w:hAnsi="Times New Roman" w:cs="Times New Roman" w:hint="default"/>
        <w:w w:val="100"/>
        <w:sz w:val="22"/>
        <w:szCs w:val="22"/>
      </w:rPr>
    </w:lvl>
    <w:lvl w:ilvl="1" w:tplc="9266E29C">
      <w:numFmt w:val="bullet"/>
      <w:lvlText w:val="•"/>
      <w:lvlJc w:val="left"/>
      <w:pPr>
        <w:ind w:left="1536" w:hanging="567"/>
      </w:pPr>
      <w:rPr>
        <w:rFonts w:hint="default"/>
      </w:rPr>
    </w:lvl>
    <w:lvl w:ilvl="2" w:tplc="0464DCEC">
      <w:numFmt w:val="bullet"/>
      <w:lvlText w:val="•"/>
      <w:lvlJc w:val="left"/>
      <w:pPr>
        <w:ind w:left="2393" w:hanging="567"/>
      </w:pPr>
      <w:rPr>
        <w:rFonts w:hint="default"/>
      </w:rPr>
    </w:lvl>
    <w:lvl w:ilvl="3" w:tplc="0AA4B27C">
      <w:numFmt w:val="bullet"/>
      <w:lvlText w:val="•"/>
      <w:lvlJc w:val="left"/>
      <w:pPr>
        <w:ind w:left="3249" w:hanging="567"/>
      </w:pPr>
      <w:rPr>
        <w:rFonts w:hint="default"/>
      </w:rPr>
    </w:lvl>
    <w:lvl w:ilvl="4" w:tplc="D32E38E0">
      <w:numFmt w:val="bullet"/>
      <w:lvlText w:val="•"/>
      <w:lvlJc w:val="left"/>
      <w:pPr>
        <w:ind w:left="4106" w:hanging="567"/>
      </w:pPr>
      <w:rPr>
        <w:rFonts w:hint="default"/>
      </w:rPr>
    </w:lvl>
    <w:lvl w:ilvl="5" w:tplc="311C5F46">
      <w:numFmt w:val="bullet"/>
      <w:lvlText w:val="•"/>
      <w:lvlJc w:val="left"/>
      <w:pPr>
        <w:ind w:left="4963" w:hanging="567"/>
      </w:pPr>
      <w:rPr>
        <w:rFonts w:hint="default"/>
      </w:rPr>
    </w:lvl>
    <w:lvl w:ilvl="6" w:tplc="943E824C">
      <w:numFmt w:val="bullet"/>
      <w:lvlText w:val="•"/>
      <w:lvlJc w:val="left"/>
      <w:pPr>
        <w:ind w:left="5819" w:hanging="567"/>
      </w:pPr>
      <w:rPr>
        <w:rFonts w:hint="default"/>
      </w:rPr>
    </w:lvl>
    <w:lvl w:ilvl="7" w:tplc="10107EF2">
      <w:numFmt w:val="bullet"/>
      <w:lvlText w:val="•"/>
      <w:lvlJc w:val="left"/>
      <w:pPr>
        <w:ind w:left="6676" w:hanging="567"/>
      </w:pPr>
      <w:rPr>
        <w:rFonts w:hint="default"/>
      </w:rPr>
    </w:lvl>
    <w:lvl w:ilvl="8" w:tplc="B2C49FB8">
      <w:numFmt w:val="bullet"/>
      <w:lvlText w:val="•"/>
      <w:lvlJc w:val="left"/>
      <w:pPr>
        <w:ind w:left="7533" w:hanging="567"/>
      </w:pPr>
      <w:rPr>
        <w:rFonts w:hint="default"/>
      </w:rPr>
    </w:lvl>
  </w:abstractNum>
  <w:abstractNum w:abstractNumId="13" w15:restartNumberingAfterBreak="0">
    <w:nsid w:val="5CE63AE5"/>
    <w:multiLevelType w:val="hybridMultilevel"/>
    <w:tmpl w:val="E99205FE"/>
    <w:lvl w:ilvl="0" w:tplc="D4045BA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60126902"/>
    <w:multiLevelType w:val="hybridMultilevel"/>
    <w:tmpl w:val="63588F68"/>
    <w:lvl w:ilvl="0" w:tplc="04100009">
      <w:start w:val="1"/>
      <w:numFmt w:val="bullet"/>
      <w:lvlText w:val=""/>
      <w:lvlJc w:val="left"/>
      <w:pPr>
        <w:ind w:left="768" w:hanging="360"/>
      </w:pPr>
      <w:rPr>
        <w:rFonts w:ascii="Wingdings" w:hAnsi="Wingdings" w:hint="default"/>
      </w:rPr>
    </w:lvl>
    <w:lvl w:ilvl="1" w:tplc="04100003" w:tentative="1">
      <w:start w:val="1"/>
      <w:numFmt w:val="bullet"/>
      <w:lvlText w:val="o"/>
      <w:lvlJc w:val="left"/>
      <w:pPr>
        <w:ind w:left="1488" w:hanging="360"/>
      </w:pPr>
      <w:rPr>
        <w:rFonts w:ascii="Courier New" w:hAnsi="Courier New" w:cs="Courier New" w:hint="default"/>
      </w:rPr>
    </w:lvl>
    <w:lvl w:ilvl="2" w:tplc="04100005" w:tentative="1">
      <w:start w:val="1"/>
      <w:numFmt w:val="bullet"/>
      <w:lvlText w:val=""/>
      <w:lvlJc w:val="left"/>
      <w:pPr>
        <w:ind w:left="2208" w:hanging="360"/>
      </w:pPr>
      <w:rPr>
        <w:rFonts w:ascii="Wingdings" w:hAnsi="Wingdings" w:hint="default"/>
      </w:rPr>
    </w:lvl>
    <w:lvl w:ilvl="3" w:tplc="04100001" w:tentative="1">
      <w:start w:val="1"/>
      <w:numFmt w:val="bullet"/>
      <w:lvlText w:val=""/>
      <w:lvlJc w:val="left"/>
      <w:pPr>
        <w:ind w:left="2928" w:hanging="360"/>
      </w:pPr>
      <w:rPr>
        <w:rFonts w:ascii="Symbol" w:hAnsi="Symbol" w:hint="default"/>
      </w:rPr>
    </w:lvl>
    <w:lvl w:ilvl="4" w:tplc="04100003" w:tentative="1">
      <w:start w:val="1"/>
      <w:numFmt w:val="bullet"/>
      <w:lvlText w:val="o"/>
      <w:lvlJc w:val="left"/>
      <w:pPr>
        <w:ind w:left="3648" w:hanging="360"/>
      </w:pPr>
      <w:rPr>
        <w:rFonts w:ascii="Courier New" w:hAnsi="Courier New" w:cs="Courier New" w:hint="default"/>
      </w:rPr>
    </w:lvl>
    <w:lvl w:ilvl="5" w:tplc="04100005" w:tentative="1">
      <w:start w:val="1"/>
      <w:numFmt w:val="bullet"/>
      <w:lvlText w:val=""/>
      <w:lvlJc w:val="left"/>
      <w:pPr>
        <w:ind w:left="4368" w:hanging="360"/>
      </w:pPr>
      <w:rPr>
        <w:rFonts w:ascii="Wingdings" w:hAnsi="Wingdings" w:hint="default"/>
      </w:rPr>
    </w:lvl>
    <w:lvl w:ilvl="6" w:tplc="04100001" w:tentative="1">
      <w:start w:val="1"/>
      <w:numFmt w:val="bullet"/>
      <w:lvlText w:val=""/>
      <w:lvlJc w:val="left"/>
      <w:pPr>
        <w:ind w:left="5088" w:hanging="360"/>
      </w:pPr>
      <w:rPr>
        <w:rFonts w:ascii="Symbol" w:hAnsi="Symbol" w:hint="default"/>
      </w:rPr>
    </w:lvl>
    <w:lvl w:ilvl="7" w:tplc="04100003" w:tentative="1">
      <w:start w:val="1"/>
      <w:numFmt w:val="bullet"/>
      <w:lvlText w:val="o"/>
      <w:lvlJc w:val="left"/>
      <w:pPr>
        <w:ind w:left="5808" w:hanging="360"/>
      </w:pPr>
      <w:rPr>
        <w:rFonts w:ascii="Courier New" w:hAnsi="Courier New" w:cs="Courier New" w:hint="default"/>
      </w:rPr>
    </w:lvl>
    <w:lvl w:ilvl="8" w:tplc="04100005" w:tentative="1">
      <w:start w:val="1"/>
      <w:numFmt w:val="bullet"/>
      <w:lvlText w:val=""/>
      <w:lvlJc w:val="left"/>
      <w:pPr>
        <w:ind w:left="6528" w:hanging="360"/>
      </w:pPr>
      <w:rPr>
        <w:rFonts w:ascii="Wingdings" w:hAnsi="Wingdings" w:hint="default"/>
      </w:rPr>
    </w:lvl>
  </w:abstractNum>
  <w:abstractNum w:abstractNumId="15" w15:restartNumberingAfterBreak="0">
    <w:nsid w:val="69AE7623"/>
    <w:multiLevelType w:val="hybridMultilevel"/>
    <w:tmpl w:val="ED9070AE"/>
    <w:lvl w:ilvl="0" w:tplc="4A22717C">
      <w:numFmt w:val="bullet"/>
      <w:lvlText w:val=""/>
      <w:lvlJc w:val="left"/>
      <w:pPr>
        <w:ind w:left="684" w:hanging="567"/>
      </w:pPr>
      <w:rPr>
        <w:rFonts w:ascii="Wingdings" w:eastAsia="Wingdings" w:hAnsi="Wingdings" w:cs="Wingdings" w:hint="default"/>
        <w:w w:val="100"/>
        <w:sz w:val="22"/>
        <w:szCs w:val="22"/>
      </w:rPr>
    </w:lvl>
    <w:lvl w:ilvl="1" w:tplc="10062956">
      <w:numFmt w:val="bullet"/>
      <w:lvlText w:val="•"/>
      <w:lvlJc w:val="left"/>
      <w:pPr>
        <w:ind w:left="1536" w:hanging="567"/>
      </w:pPr>
      <w:rPr>
        <w:rFonts w:hint="default"/>
      </w:rPr>
    </w:lvl>
    <w:lvl w:ilvl="2" w:tplc="31CE3C36">
      <w:numFmt w:val="bullet"/>
      <w:lvlText w:val="•"/>
      <w:lvlJc w:val="left"/>
      <w:pPr>
        <w:ind w:left="2393" w:hanging="567"/>
      </w:pPr>
      <w:rPr>
        <w:rFonts w:hint="default"/>
      </w:rPr>
    </w:lvl>
    <w:lvl w:ilvl="3" w:tplc="62AAA786">
      <w:numFmt w:val="bullet"/>
      <w:lvlText w:val="•"/>
      <w:lvlJc w:val="left"/>
      <w:pPr>
        <w:ind w:left="3249" w:hanging="567"/>
      </w:pPr>
      <w:rPr>
        <w:rFonts w:hint="default"/>
      </w:rPr>
    </w:lvl>
    <w:lvl w:ilvl="4" w:tplc="4D0C26F4">
      <w:numFmt w:val="bullet"/>
      <w:lvlText w:val="•"/>
      <w:lvlJc w:val="left"/>
      <w:pPr>
        <w:ind w:left="4106" w:hanging="567"/>
      </w:pPr>
      <w:rPr>
        <w:rFonts w:hint="default"/>
      </w:rPr>
    </w:lvl>
    <w:lvl w:ilvl="5" w:tplc="A934BF1A">
      <w:numFmt w:val="bullet"/>
      <w:lvlText w:val="•"/>
      <w:lvlJc w:val="left"/>
      <w:pPr>
        <w:ind w:left="4963" w:hanging="567"/>
      </w:pPr>
      <w:rPr>
        <w:rFonts w:hint="default"/>
      </w:rPr>
    </w:lvl>
    <w:lvl w:ilvl="6" w:tplc="C9741800">
      <w:numFmt w:val="bullet"/>
      <w:lvlText w:val="•"/>
      <w:lvlJc w:val="left"/>
      <w:pPr>
        <w:ind w:left="5819" w:hanging="567"/>
      </w:pPr>
      <w:rPr>
        <w:rFonts w:hint="default"/>
      </w:rPr>
    </w:lvl>
    <w:lvl w:ilvl="7" w:tplc="1518868C">
      <w:numFmt w:val="bullet"/>
      <w:lvlText w:val="•"/>
      <w:lvlJc w:val="left"/>
      <w:pPr>
        <w:ind w:left="6676" w:hanging="567"/>
      </w:pPr>
      <w:rPr>
        <w:rFonts w:hint="default"/>
      </w:rPr>
    </w:lvl>
    <w:lvl w:ilvl="8" w:tplc="24B0F6AA">
      <w:numFmt w:val="bullet"/>
      <w:lvlText w:val="•"/>
      <w:lvlJc w:val="left"/>
      <w:pPr>
        <w:ind w:left="7533" w:hanging="567"/>
      </w:pPr>
      <w:rPr>
        <w:rFonts w:hint="default"/>
      </w:rPr>
    </w:lvl>
  </w:abstractNum>
  <w:abstractNum w:abstractNumId="16" w15:restartNumberingAfterBreak="0">
    <w:nsid w:val="77B939FA"/>
    <w:multiLevelType w:val="hybridMultilevel"/>
    <w:tmpl w:val="E99CA066"/>
    <w:lvl w:ilvl="0" w:tplc="F5182E8E">
      <w:start w:val="1"/>
      <w:numFmt w:val="bullet"/>
      <w:lvlText w:val=""/>
      <w:lvlJc w:val="left"/>
      <w:pPr>
        <w:ind w:left="720" w:hanging="360"/>
      </w:pPr>
      <w:rPr>
        <w:rFonts w:ascii="Symbol" w:hAnsi="Symbol"/>
      </w:rPr>
    </w:lvl>
    <w:lvl w:ilvl="1" w:tplc="82F429DE">
      <w:start w:val="1"/>
      <w:numFmt w:val="bullet"/>
      <w:lvlText w:val=""/>
      <w:lvlJc w:val="left"/>
      <w:pPr>
        <w:ind w:left="720" w:hanging="360"/>
      </w:pPr>
      <w:rPr>
        <w:rFonts w:ascii="Symbol" w:hAnsi="Symbol"/>
      </w:rPr>
    </w:lvl>
    <w:lvl w:ilvl="2" w:tplc="987435BA">
      <w:start w:val="1"/>
      <w:numFmt w:val="bullet"/>
      <w:lvlText w:val=""/>
      <w:lvlJc w:val="left"/>
      <w:pPr>
        <w:ind w:left="720" w:hanging="360"/>
      </w:pPr>
      <w:rPr>
        <w:rFonts w:ascii="Symbol" w:hAnsi="Symbol"/>
      </w:rPr>
    </w:lvl>
    <w:lvl w:ilvl="3" w:tplc="947E224C">
      <w:start w:val="1"/>
      <w:numFmt w:val="bullet"/>
      <w:lvlText w:val=""/>
      <w:lvlJc w:val="left"/>
      <w:pPr>
        <w:ind w:left="720" w:hanging="360"/>
      </w:pPr>
      <w:rPr>
        <w:rFonts w:ascii="Symbol" w:hAnsi="Symbol"/>
      </w:rPr>
    </w:lvl>
    <w:lvl w:ilvl="4" w:tplc="2B8A9EDC">
      <w:start w:val="1"/>
      <w:numFmt w:val="bullet"/>
      <w:lvlText w:val=""/>
      <w:lvlJc w:val="left"/>
      <w:pPr>
        <w:ind w:left="720" w:hanging="360"/>
      </w:pPr>
      <w:rPr>
        <w:rFonts w:ascii="Symbol" w:hAnsi="Symbol"/>
      </w:rPr>
    </w:lvl>
    <w:lvl w:ilvl="5" w:tplc="F620B8D4">
      <w:start w:val="1"/>
      <w:numFmt w:val="bullet"/>
      <w:lvlText w:val=""/>
      <w:lvlJc w:val="left"/>
      <w:pPr>
        <w:ind w:left="720" w:hanging="360"/>
      </w:pPr>
      <w:rPr>
        <w:rFonts w:ascii="Symbol" w:hAnsi="Symbol"/>
      </w:rPr>
    </w:lvl>
    <w:lvl w:ilvl="6" w:tplc="35B60D4E">
      <w:start w:val="1"/>
      <w:numFmt w:val="bullet"/>
      <w:lvlText w:val=""/>
      <w:lvlJc w:val="left"/>
      <w:pPr>
        <w:ind w:left="720" w:hanging="360"/>
      </w:pPr>
      <w:rPr>
        <w:rFonts w:ascii="Symbol" w:hAnsi="Symbol"/>
      </w:rPr>
    </w:lvl>
    <w:lvl w:ilvl="7" w:tplc="B2A4CA32">
      <w:start w:val="1"/>
      <w:numFmt w:val="bullet"/>
      <w:lvlText w:val=""/>
      <w:lvlJc w:val="left"/>
      <w:pPr>
        <w:ind w:left="720" w:hanging="360"/>
      </w:pPr>
      <w:rPr>
        <w:rFonts w:ascii="Symbol" w:hAnsi="Symbol"/>
      </w:rPr>
    </w:lvl>
    <w:lvl w:ilvl="8" w:tplc="833400B6">
      <w:start w:val="1"/>
      <w:numFmt w:val="bullet"/>
      <w:lvlText w:val=""/>
      <w:lvlJc w:val="left"/>
      <w:pPr>
        <w:ind w:left="720" w:hanging="360"/>
      </w:pPr>
      <w:rPr>
        <w:rFonts w:ascii="Symbol" w:hAnsi="Symbol"/>
      </w:rPr>
    </w:lvl>
  </w:abstractNum>
  <w:num w:numId="1">
    <w:abstractNumId w:val="4"/>
  </w:num>
  <w:num w:numId="2">
    <w:abstractNumId w:val="10"/>
  </w:num>
  <w:num w:numId="3">
    <w:abstractNumId w:val="13"/>
  </w:num>
  <w:num w:numId="4">
    <w:abstractNumId w:val="8"/>
  </w:num>
  <w:num w:numId="5">
    <w:abstractNumId w:val="5"/>
  </w:num>
  <w:num w:numId="6">
    <w:abstractNumId w:val="15"/>
  </w:num>
  <w:num w:numId="7">
    <w:abstractNumId w:val="12"/>
  </w:num>
  <w:num w:numId="8">
    <w:abstractNumId w:val="2"/>
  </w:num>
  <w:num w:numId="9">
    <w:abstractNumId w:val="14"/>
  </w:num>
  <w:num w:numId="10">
    <w:abstractNumId w:val="1"/>
  </w:num>
  <w:num w:numId="11">
    <w:abstractNumId w:val="0"/>
  </w:num>
  <w:num w:numId="12">
    <w:abstractNumId w:val="3"/>
  </w:num>
  <w:num w:numId="13">
    <w:abstractNumId w:val="9"/>
  </w:num>
  <w:num w:numId="14">
    <w:abstractNumId w:val="7"/>
  </w:num>
  <w:num w:numId="15">
    <w:abstractNumId w:val="11"/>
  </w:num>
  <w:num w:numId="16">
    <w:abstractNumId w:val="6"/>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6" w:nlCheck="1" w:checkStyle="0"/>
  <w:activeWritingStyle w:appName="MSWord" w:lang="it-IT" w:vendorID="64" w:dllVersion="4096" w:nlCheck="1" w:checkStyle="0"/>
  <w:activeWritingStyle w:appName="MSWord" w:lang="it-IT" w:vendorID="64" w:dllVersion="0" w:nlCheck="1" w:checkStyle="0"/>
  <w:activeWritingStyle w:appName="MSWord" w:lang="en-GB" w:vendorID="64" w:dllVersion="0" w:nlCheck="1" w:checkStyle="0"/>
  <w:activeWritingStyle w:appName="MSWord" w:lang="it-IT" w:vendorID="64" w:dllVersion="131078" w:nlCheck="1" w:checkStyle="0"/>
  <w:activeWritingStyle w:appName="MSWord" w:lang="en-GB" w:vendorID="64" w:dllVersion="131078" w:nlCheck="1" w:checkStyle="1"/>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AC"/>
    <w:rsid w:val="00004350"/>
    <w:rsid w:val="0001070A"/>
    <w:rsid w:val="00010C54"/>
    <w:rsid w:val="00010DD2"/>
    <w:rsid w:val="00013020"/>
    <w:rsid w:val="00013723"/>
    <w:rsid w:val="00014743"/>
    <w:rsid w:val="000161E7"/>
    <w:rsid w:val="000164BE"/>
    <w:rsid w:val="00016674"/>
    <w:rsid w:val="00022511"/>
    <w:rsid w:val="00023CEA"/>
    <w:rsid w:val="00030A90"/>
    <w:rsid w:val="00036AD9"/>
    <w:rsid w:val="000538B9"/>
    <w:rsid w:val="00062636"/>
    <w:rsid w:val="00063126"/>
    <w:rsid w:val="0006492A"/>
    <w:rsid w:val="00077149"/>
    <w:rsid w:val="000808A3"/>
    <w:rsid w:val="0008443F"/>
    <w:rsid w:val="00087C1C"/>
    <w:rsid w:val="00091E00"/>
    <w:rsid w:val="000A1723"/>
    <w:rsid w:val="000A4BA1"/>
    <w:rsid w:val="000A66FF"/>
    <w:rsid w:val="000B033F"/>
    <w:rsid w:val="000B7AC8"/>
    <w:rsid w:val="000C022D"/>
    <w:rsid w:val="000C16A4"/>
    <w:rsid w:val="000C1962"/>
    <w:rsid w:val="000C6E4D"/>
    <w:rsid w:val="000D22DE"/>
    <w:rsid w:val="000D4E5E"/>
    <w:rsid w:val="000D6683"/>
    <w:rsid w:val="000E1F86"/>
    <w:rsid w:val="000E4494"/>
    <w:rsid w:val="000F3532"/>
    <w:rsid w:val="000F658F"/>
    <w:rsid w:val="00102750"/>
    <w:rsid w:val="00103E81"/>
    <w:rsid w:val="001100E9"/>
    <w:rsid w:val="001119D8"/>
    <w:rsid w:val="00111E9E"/>
    <w:rsid w:val="00112B34"/>
    <w:rsid w:val="00116863"/>
    <w:rsid w:val="00116E86"/>
    <w:rsid w:val="00123A00"/>
    <w:rsid w:val="00125129"/>
    <w:rsid w:val="0013304C"/>
    <w:rsid w:val="00133FEB"/>
    <w:rsid w:val="00136C0B"/>
    <w:rsid w:val="00140BCC"/>
    <w:rsid w:val="001460CA"/>
    <w:rsid w:val="0015644A"/>
    <w:rsid w:val="00161AFF"/>
    <w:rsid w:val="00167B56"/>
    <w:rsid w:val="0017052B"/>
    <w:rsid w:val="00170F91"/>
    <w:rsid w:val="00171E4C"/>
    <w:rsid w:val="00173CF2"/>
    <w:rsid w:val="001859C3"/>
    <w:rsid w:val="0018731A"/>
    <w:rsid w:val="0019256E"/>
    <w:rsid w:val="00193687"/>
    <w:rsid w:val="001A277B"/>
    <w:rsid w:val="001A381F"/>
    <w:rsid w:val="001A475E"/>
    <w:rsid w:val="001A60E4"/>
    <w:rsid w:val="001B670F"/>
    <w:rsid w:val="001C15DF"/>
    <w:rsid w:val="001C6AD1"/>
    <w:rsid w:val="001D2BAD"/>
    <w:rsid w:val="001D3EF1"/>
    <w:rsid w:val="001F1AA3"/>
    <w:rsid w:val="0020415A"/>
    <w:rsid w:val="00215A98"/>
    <w:rsid w:val="0021737D"/>
    <w:rsid w:val="002265BA"/>
    <w:rsid w:val="0023233B"/>
    <w:rsid w:val="0023246C"/>
    <w:rsid w:val="00260D58"/>
    <w:rsid w:val="00265940"/>
    <w:rsid w:val="00265B61"/>
    <w:rsid w:val="00271FE8"/>
    <w:rsid w:val="00272454"/>
    <w:rsid w:val="00277A0E"/>
    <w:rsid w:val="00280057"/>
    <w:rsid w:val="0028142D"/>
    <w:rsid w:val="00281CF6"/>
    <w:rsid w:val="002948D9"/>
    <w:rsid w:val="002A542B"/>
    <w:rsid w:val="002A60E3"/>
    <w:rsid w:val="002B60FB"/>
    <w:rsid w:val="002B6D9B"/>
    <w:rsid w:val="002C3E88"/>
    <w:rsid w:val="002D3326"/>
    <w:rsid w:val="002D5E54"/>
    <w:rsid w:val="002E2DB1"/>
    <w:rsid w:val="002F08DA"/>
    <w:rsid w:val="002F2543"/>
    <w:rsid w:val="002F3A49"/>
    <w:rsid w:val="002F4000"/>
    <w:rsid w:val="002F64BE"/>
    <w:rsid w:val="00300BEA"/>
    <w:rsid w:val="0030181C"/>
    <w:rsid w:val="003061E0"/>
    <w:rsid w:val="00310FF9"/>
    <w:rsid w:val="003120A1"/>
    <w:rsid w:val="00312904"/>
    <w:rsid w:val="00316116"/>
    <w:rsid w:val="00317EA2"/>
    <w:rsid w:val="0032650C"/>
    <w:rsid w:val="00343426"/>
    <w:rsid w:val="00362715"/>
    <w:rsid w:val="00365BA3"/>
    <w:rsid w:val="00367CE0"/>
    <w:rsid w:val="00370DDE"/>
    <w:rsid w:val="0038035D"/>
    <w:rsid w:val="0038111B"/>
    <w:rsid w:val="00381155"/>
    <w:rsid w:val="003908A7"/>
    <w:rsid w:val="0039449F"/>
    <w:rsid w:val="0039515C"/>
    <w:rsid w:val="003A0996"/>
    <w:rsid w:val="003A6C9D"/>
    <w:rsid w:val="003B0709"/>
    <w:rsid w:val="003B23BB"/>
    <w:rsid w:val="003C20C3"/>
    <w:rsid w:val="003C2157"/>
    <w:rsid w:val="003C6FBF"/>
    <w:rsid w:val="003D117C"/>
    <w:rsid w:val="003D4BA2"/>
    <w:rsid w:val="003E0A7B"/>
    <w:rsid w:val="003E2B21"/>
    <w:rsid w:val="003E3CFC"/>
    <w:rsid w:val="003E4308"/>
    <w:rsid w:val="003E4FBD"/>
    <w:rsid w:val="003F47AD"/>
    <w:rsid w:val="003F7399"/>
    <w:rsid w:val="004016FF"/>
    <w:rsid w:val="0041339D"/>
    <w:rsid w:val="0041645E"/>
    <w:rsid w:val="00420C3C"/>
    <w:rsid w:val="0042214D"/>
    <w:rsid w:val="00423A97"/>
    <w:rsid w:val="004241AC"/>
    <w:rsid w:val="004259AD"/>
    <w:rsid w:val="00431587"/>
    <w:rsid w:val="00432D9D"/>
    <w:rsid w:val="004331C2"/>
    <w:rsid w:val="004431E9"/>
    <w:rsid w:val="00445259"/>
    <w:rsid w:val="00453FFF"/>
    <w:rsid w:val="004609F8"/>
    <w:rsid w:val="00460B77"/>
    <w:rsid w:val="0047212A"/>
    <w:rsid w:val="00477A02"/>
    <w:rsid w:val="00483887"/>
    <w:rsid w:val="00483E20"/>
    <w:rsid w:val="004936B9"/>
    <w:rsid w:val="00493E46"/>
    <w:rsid w:val="004955A7"/>
    <w:rsid w:val="004A02C9"/>
    <w:rsid w:val="004A4208"/>
    <w:rsid w:val="004A4351"/>
    <w:rsid w:val="004B0C08"/>
    <w:rsid w:val="004B20A8"/>
    <w:rsid w:val="004C0154"/>
    <w:rsid w:val="004C4C5D"/>
    <w:rsid w:val="004C6004"/>
    <w:rsid w:val="004E2804"/>
    <w:rsid w:val="004E5A39"/>
    <w:rsid w:val="004F3545"/>
    <w:rsid w:val="00500AB5"/>
    <w:rsid w:val="00500ACA"/>
    <w:rsid w:val="00501520"/>
    <w:rsid w:val="005049A1"/>
    <w:rsid w:val="00504FC1"/>
    <w:rsid w:val="005161C4"/>
    <w:rsid w:val="00517378"/>
    <w:rsid w:val="005202C9"/>
    <w:rsid w:val="00520ADB"/>
    <w:rsid w:val="00536182"/>
    <w:rsid w:val="0054073F"/>
    <w:rsid w:val="0054217C"/>
    <w:rsid w:val="00545DCB"/>
    <w:rsid w:val="00550740"/>
    <w:rsid w:val="00550BF7"/>
    <w:rsid w:val="005512FD"/>
    <w:rsid w:val="00551FD9"/>
    <w:rsid w:val="005533EB"/>
    <w:rsid w:val="00560B8A"/>
    <w:rsid w:val="0056372C"/>
    <w:rsid w:val="00567615"/>
    <w:rsid w:val="005801B3"/>
    <w:rsid w:val="00582D5E"/>
    <w:rsid w:val="00584317"/>
    <w:rsid w:val="005913D1"/>
    <w:rsid w:val="005950D6"/>
    <w:rsid w:val="0059784A"/>
    <w:rsid w:val="00597E26"/>
    <w:rsid w:val="005B3B50"/>
    <w:rsid w:val="005C1F33"/>
    <w:rsid w:val="005C6751"/>
    <w:rsid w:val="005C7C87"/>
    <w:rsid w:val="005D0F48"/>
    <w:rsid w:val="005F6FF7"/>
    <w:rsid w:val="0060031B"/>
    <w:rsid w:val="006020F1"/>
    <w:rsid w:val="00612C40"/>
    <w:rsid w:val="00621A93"/>
    <w:rsid w:val="00621AE2"/>
    <w:rsid w:val="00626757"/>
    <w:rsid w:val="006278BE"/>
    <w:rsid w:val="00631414"/>
    <w:rsid w:val="006422AC"/>
    <w:rsid w:val="00642D6A"/>
    <w:rsid w:val="0064646C"/>
    <w:rsid w:val="00646A5B"/>
    <w:rsid w:val="006510F3"/>
    <w:rsid w:val="00651119"/>
    <w:rsid w:val="00651903"/>
    <w:rsid w:val="006525A6"/>
    <w:rsid w:val="006538F9"/>
    <w:rsid w:val="00654D9E"/>
    <w:rsid w:val="00655986"/>
    <w:rsid w:val="0066013E"/>
    <w:rsid w:val="00664931"/>
    <w:rsid w:val="00664B8F"/>
    <w:rsid w:val="0066732A"/>
    <w:rsid w:val="00670328"/>
    <w:rsid w:val="00671482"/>
    <w:rsid w:val="006727BD"/>
    <w:rsid w:val="0068398A"/>
    <w:rsid w:val="006842ED"/>
    <w:rsid w:val="00684A3B"/>
    <w:rsid w:val="006877D2"/>
    <w:rsid w:val="006916B4"/>
    <w:rsid w:val="00695FA9"/>
    <w:rsid w:val="006A2D9C"/>
    <w:rsid w:val="006A318C"/>
    <w:rsid w:val="006B03C7"/>
    <w:rsid w:val="006B0BEF"/>
    <w:rsid w:val="006B117F"/>
    <w:rsid w:val="006B311C"/>
    <w:rsid w:val="006B3E12"/>
    <w:rsid w:val="006B5448"/>
    <w:rsid w:val="006C4C67"/>
    <w:rsid w:val="006C4F7D"/>
    <w:rsid w:val="006D0BDF"/>
    <w:rsid w:val="006D0FFE"/>
    <w:rsid w:val="006D4A83"/>
    <w:rsid w:val="006D7B8C"/>
    <w:rsid w:val="006E2430"/>
    <w:rsid w:val="006F0899"/>
    <w:rsid w:val="006F4C08"/>
    <w:rsid w:val="0070050F"/>
    <w:rsid w:val="00705359"/>
    <w:rsid w:val="0071566B"/>
    <w:rsid w:val="00715784"/>
    <w:rsid w:val="00715DD3"/>
    <w:rsid w:val="00716726"/>
    <w:rsid w:val="00716DF5"/>
    <w:rsid w:val="007170D7"/>
    <w:rsid w:val="007221B6"/>
    <w:rsid w:val="007305B8"/>
    <w:rsid w:val="00734891"/>
    <w:rsid w:val="00740CA2"/>
    <w:rsid w:val="00746786"/>
    <w:rsid w:val="007501ED"/>
    <w:rsid w:val="00751D0F"/>
    <w:rsid w:val="00760A74"/>
    <w:rsid w:val="0076275F"/>
    <w:rsid w:val="007652E8"/>
    <w:rsid w:val="00766E26"/>
    <w:rsid w:val="00774FEA"/>
    <w:rsid w:val="007771EC"/>
    <w:rsid w:val="0078080A"/>
    <w:rsid w:val="007920F7"/>
    <w:rsid w:val="00793AE2"/>
    <w:rsid w:val="00795E5B"/>
    <w:rsid w:val="00797416"/>
    <w:rsid w:val="007C0B1A"/>
    <w:rsid w:val="007C2772"/>
    <w:rsid w:val="007E18C3"/>
    <w:rsid w:val="007E2D4A"/>
    <w:rsid w:val="007E302A"/>
    <w:rsid w:val="007E35A8"/>
    <w:rsid w:val="007F33D1"/>
    <w:rsid w:val="007F4612"/>
    <w:rsid w:val="0081179C"/>
    <w:rsid w:val="00816F3B"/>
    <w:rsid w:val="00821780"/>
    <w:rsid w:val="00823124"/>
    <w:rsid w:val="00823F4C"/>
    <w:rsid w:val="00836101"/>
    <w:rsid w:val="0084383D"/>
    <w:rsid w:val="00844083"/>
    <w:rsid w:val="008515F7"/>
    <w:rsid w:val="008519BB"/>
    <w:rsid w:val="00851BB5"/>
    <w:rsid w:val="008547B3"/>
    <w:rsid w:val="00854FE9"/>
    <w:rsid w:val="00855760"/>
    <w:rsid w:val="00864183"/>
    <w:rsid w:val="00864C5B"/>
    <w:rsid w:val="00870D04"/>
    <w:rsid w:val="008752C6"/>
    <w:rsid w:val="008819D4"/>
    <w:rsid w:val="00881DE8"/>
    <w:rsid w:val="0088216F"/>
    <w:rsid w:val="0088445F"/>
    <w:rsid w:val="00885021"/>
    <w:rsid w:val="008956F4"/>
    <w:rsid w:val="008A0860"/>
    <w:rsid w:val="008A0E6E"/>
    <w:rsid w:val="008A6FEC"/>
    <w:rsid w:val="008A7C3F"/>
    <w:rsid w:val="008B60D7"/>
    <w:rsid w:val="008C0D4E"/>
    <w:rsid w:val="008C3D30"/>
    <w:rsid w:val="008D1529"/>
    <w:rsid w:val="008D1888"/>
    <w:rsid w:val="008D1E9E"/>
    <w:rsid w:val="008D3FBC"/>
    <w:rsid w:val="008E4292"/>
    <w:rsid w:val="008F7243"/>
    <w:rsid w:val="00903102"/>
    <w:rsid w:val="0090370C"/>
    <w:rsid w:val="00903BA0"/>
    <w:rsid w:val="009228EC"/>
    <w:rsid w:val="00931BB6"/>
    <w:rsid w:val="0093355C"/>
    <w:rsid w:val="00934512"/>
    <w:rsid w:val="009378E3"/>
    <w:rsid w:val="00943785"/>
    <w:rsid w:val="00953FCB"/>
    <w:rsid w:val="00957832"/>
    <w:rsid w:val="009627FA"/>
    <w:rsid w:val="00962DC8"/>
    <w:rsid w:val="00965F7D"/>
    <w:rsid w:val="009704D5"/>
    <w:rsid w:val="00982CBD"/>
    <w:rsid w:val="009852B6"/>
    <w:rsid w:val="00987B88"/>
    <w:rsid w:val="009943EA"/>
    <w:rsid w:val="009A23DE"/>
    <w:rsid w:val="009A260F"/>
    <w:rsid w:val="009A39A1"/>
    <w:rsid w:val="009B03DB"/>
    <w:rsid w:val="009B2489"/>
    <w:rsid w:val="009C0087"/>
    <w:rsid w:val="009C18E0"/>
    <w:rsid w:val="009D3446"/>
    <w:rsid w:val="009D3B43"/>
    <w:rsid w:val="009E0140"/>
    <w:rsid w:val="009E2BC0"/>
    <w:rsid w:val="009E2E29"/>
    <w:rsid w:val="009F1722"/>
    <w:rsid w:val="009F3867"/>
    <w:rsid w:val="009F401B"/>
    <w:rsid w:val="00A01AB1"/>
    <w:rsid w:val="00A10888"/>
    <w:rsid w:val="00A1135A"/>
    <w:rsid w:val="00A20D13"/>
    <w:rsid w:val="00A2330F"/>
    <w:rsid w:val="00A2499E"/>
    <w:rsid w:val="00A3250A"/>
    <w:rsid w:val="00A34061"/>
    <w:rsid w:val="00A40FF3"/>
    <w:rsid w:val="00A419B5"/>
    <w:rsid w:val="00A43C96"/>
    <w:rsid w:val="00A4704F"/>
    <w:rsid w:val="00A504AE"/>
    <w:rsid w:val="00A62D55"/>
    <w:rsid w:val="00A64AC7"/>
    <w:rsid w:val="00A76244"/>
    <w:rsid w:val="00A811B8"/>
    <w:rsid w:val="00A8557C"/>
    <w:rsid w:val="00A908B9"/>
    <w:rsid w:val="00A91D77"/>
    <w:rsid w:val="00A933FD"/>
    <w:rsid w:val="00A966D1"/>
    <w:rsid w:val="00AB42F7"/>
    <w:rsid w:val="00AC6BDF"/>
    <w:rsid w:val="00AD7C93"/>
    <w:rsid w:val="00AE7B90"/>
    <w:rsid w:val="00B023E9"/>
    <w:rsid w:val="00B0627C"/>
    <w:rsid w:val="00B11673"/>
    <w:rsid w:val="00B1186F"/>
    <w:rsid w:val="00B1408F"/>
    <w:rsid w:val="00B22436"/>
    <w:rsid w:val="00B266FF"/>
    <w:rsid w:val="00B30431"/>
    <w:rsid w:val="00B344CA"/>
    <w:rsid w:val="00B347B3"/>
    <w:rsid w:val="00B35418"/>
    <w:rsid w:val="00B367AF"/>
    <w:rsid w:val="00B56842"/>
    <w:rsid w:val="00B57B9E"/>
    <w:rsid w:val="00B62490"/>
    <w:rsid w:val="00B758E2"/>
    <w:rsid w:val="00B761E2"/>
    <w:rsid w:val="00B81CB4"/>
    <w:rsid w:val="00B84C5D"/>
    <w:rsid w:val="00B84DAB"/>
    <w:rsid w:val="00B93B41"/>
    <w:rsid w:val="00BA0ACD"/>
    <w:rsid w:val="00BA2F41"/>
    <w:rsid w:val="00BA3819"/>
    <w:rsid w:val="00BA6388"/>
    <w:rsid w:val="00BB0974"/>
    <w:rsid w:val="00BB2AF8"/>
    <w:rsid w:val="00BB3568"/>
    <w:rsid w:val="00BB3644"/>
    <w:rsid w:val="00BB7B54"/>
    <w:rsid w:val="00BC1497"/>
    <w:rsid w:val="00BC394C"/>
    <w:rsid w:val="00BC74C2"/>
    <w:rsid w:val="00BD3BA1"/>
    <w:rsid w:val="00BE41B4"/>
    <w:rsid w:val="00BE7CDB"/>
    <w:rsid w:val="00BF02DC"/>
    <w:rsid w:val="00BF55B9"/>
    <w:rsid w:val="00BF57DF"/>
    <w:rsid w:val="00BF7A42"/>
    <w:rsid w:val="00C00BEA"/>
    <w:rsid w:val="00C015A1"/>
    <w:rsid w:val="00C034FD"/>
    <w:rsid w:val="00C03ACD"/>
    <w:rsid w:val="00C04250"/>
    <w:rsid w:val="00C05EAF"/>
    <w:rsid w:val="00C1386A"/>
    <w:rsid w:val="00C20DA3"/>
    <w:rsid w:val="00C25329"/>
    <w:rsid w:val="00C2565A"/>
    <w:rsid w:val="00C314D7"/>
    <w:rsid w:val="00C35AD5"/>
    <w:rsid w:val="00C40E3E"/>
    <w:rsid w:val="00C42AAC"/>
    <w:rsid w:val="00C46F68"/>
    <w:rsid w:val="00C51632"/>
    <w:rsid w:val="00C56597"/>
    <w:rsid w:val="00C61127"/>
    <w:rsid w:val="00C63EEF"/>
    <w:rsid w:val="00C66597"/>
    <w:rsid w:val="00C719F0"/>
    <w:rsid w:val="00C801F1"/>
    <w:rsid w:val="00C879DA"/>
    <w:rsid w:val="00C977E1"/>
    <w:rsid w:val="00CA12C7"/>
    <w:rsid w:val="00CA22A8"/>
    <w:rsid w:val="00CA2C95"/>
    <w:rsid w:val="00CA3014"/>
    <w:rsid w:val="00CA6C9C"/>
    <w:rsid w:val="00CA72AB"/>
    <w:rsid w:val="00CB0348"/>
    <w:rsid w:val="00CB17B8"/>
    <w:rsid w:val="00CB3C1B"/>
    <w:rsid w:val="00CC52A3"/>
    <w:rsid w:val="00CC569F"/>
    <w:rsid w:val="00CC6B5B"/>
    <w:rsid w:val="00CC7AFF"/>
    <w:rsid w:val="00CD336D"/>
    <w:rsid w:val="00CD350A"/>
    <w:rsid w:val="00CD4473"/>
    <w:rsid w:val="00CE1827"/>
    <w:rsid w:val="00CE37B3"/>
    <w:rsid w:val="00CE5B3C"/>
    <w:rsid w:val="00CE62A1"/>
    <w:rsid w:val="00CF1E8C"/>
    <w:rsid w:val="00D02630"/>
    <w:rsid w:val="00D068BE"/>
    <w:rsid w:val="00D20170"/>
    <w:rsid w:val="00D212AA"/>
    <w:rsid w:val="00D37196"/>
    <w:rsid w:val="00D40F87"/>
    <w:rsid w:val="00D41C63"/>
    <w:rsid w:val="00D426B6"/>
    <w:rsid w:val="00D55B65"/>
    <w:rsid w:val="00D564AB"/>
    <w:rsid w:val="00D579E6"/>
    <w:rsid w:val="00D60600"/>
    <w:rsid w:val="00D62FAF"/>
    <w:rsid w:val="00D643B2"/>
    <w:rsid w:val="00D65EEC"/>
    <w:rsid w:val="00D70ACC"/>
    <w:rsid w:val="00D72E07"/>
    <w:rsid w:val="00D73834"/>
    <w:rsid w:val="00D81532"/>
    <w:rsid w:val="00D8153F"/>
    <w:rsid w:val="00D85BD5"/>
    <w:rsid w:val="00D932B4"/>
    <w:rsid w:val="00DB16D5"/>
    <w:rsid w:val="00DB359A"/>
    <w:rsid w:val="00DD384C"/>
    <w:rsid w:val="00DD3D20"/>
    <w:rsid w:val="00DE6168"/>
    <w:rsid w:val="00DF2DE9"/>
    <w:rsid w:val="00DF3A29"/>
    <w:rsid w:val="00DF5981"/>
    <w:rsid w:val="00E01DA8"/>
    <w:rsid w:val="00E04578"/>
    <w:rsid w:val="00E04C2B"/>
    <w:rsid w:val="00E05DDA"/>
    <w:rsid w:val="00E064C5"/>
    <w:rsid w:val="00E106F2"/>
    <w:rsid w:val="00E10D6C"/>
    <w:rsid w:val="00E15C94"/>
    <w:rsid w:val="00E20B61"/>
    <w:rsid w:val="00E22BA0"/>
    <w:rsid w:val="00E24204"/>
    <w:rsid w:val="00E24469"/>
    <w:rsid w:val="00E35288"/>
    <w:rsid w:val="00E43089"/>
    <w:rsid w:val="00E52D4D"/>
    <w:rsid w:val="00E534FF"/>
    <w:rsid w:val="00E56931"/>
    <w:rsid w:val="00E64806"/>
    <w:rsid w:val="00E6493F"/>
    <w:rsid w:val="00E6635E"/>
    <w:rsid w:val="00E7000C"/>
    <w:rsid w:val="00E7087E"/>
    <w:rsid w:val="00E808DF"/>
    <w:rsid w:val="00E83F8D"/>
    <w:rsid w:val="00E86E11"/>
    <w:rsid w:val="00E96C2E"/>
    <w:rsid w:val="00EA45C5"/>
    <w:rsid w:val="00EB0C6E"/>
    <w:rsid w:val="00EC1E31"/>
    <w:rsid w:val="00EC3589"/>
    <w:rsid w:val="00EC766C"/>
    <w:rsid w:val="00EC7A61"/>
    <w:rsid w:val="00ED6C38"/>
    <w:rsid w:val="00EE58E0"/>
    <w:rsid w:val="00EE5BB3"/>
    <w:rsid w:val="00EF062E"/>
    <w:rsid w:val="00EF1B07"/>
    <w:rsid w:val="00EF2FCD"/>
    <w:rsid w:val="00EF3532"/>
    <w:rsid w:val="00EF6711"/>
    <w:rsid w:val="00EF7388"/>
    <w:rsid w:val="00EF7B94"/>
    <w:rsid w:val="00F00FAD"/>
    <w:rsid w:val="00F221F9"/>
    <w:rsid w:val="00F22D5A"/>
    <w:rsid w:val="00F33005"/>
    <w:rsid w:val="00F33CB2"/>
    <w:rsid w:val="00F36290"/>
    <w:rsid w:val="00F400B9"/>
    <w:rsid w:val="00F4049A"/>
    <w:rsid w:val="00F410D4"/>
    <w:rsid w:val="00F43B26"/>
    <w:rsid w:val="00F442A8"/>
    <w:rsid w:val="00F476DA"/>
    <w:rsid w:val="00F51CC2"/>
    <w:rsid w:val="00F601FF"/>
    <w:rsid w:val="00F61BB9"/>
    <w:rsid w:val="00F66767"/>
    <w:rsid w:val="00F71675"/>
    <w:rsid w:val="00F739D3"/>
    <w:rsid w:val="00F748B4"/>
    <w:rsid w:val="00F74D2E"/>
    <w:rsid w:val="00F76F7C"/>
    <w:rsid w:val="00F85989"/>
    <w:rsid w:val="00F87368"/>
    <w:rsid w:val="00F90518"/>
    <w:rsid w:val="00F92D95"/>
    <w:rsid w:val="00F96473"/>
    <w:rsid w:val="00FA2702"/>
    <w:rsid w:val="00FA2D07"/>
    <w:rsid w:val="00FB2F9C"/>
    <w:rsid w:val="00FB58E4"/>
    <w:rsid w:val="00FB6F3A"/>
    <w:rsid w:val="00FB7952"/>
    <w:rsid w:val="00FC19CA"/>
    <w:rsid w:val="00FC7D91"/>
    <w:rsid w:val="00FD74B9"/>
    <w:rsid w:val="00FE39FE"/>
    <w:rsid w:val="00FF13D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1E73B"/>
  <w15:docId w15:val="{DC58D34E-2FF2-4AE0-B03C-6E693E823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1737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4241A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241AC"/>
    <w:rPr>
      <w:rFonts w:ascii="Tahoma" w:hAnsi="Tahoma" w:cs="Tahoma"/>
      <w:sz w:val="16"/>
      <w:szCs w:val="16"/>
    </w:rPr>
  </w:style>
  <w:style w:type="character" w:styleId="Collegamentoipertestuale">
    <w:name w:val="Hyperlink"/>
    <w:basedOn w:val="Carpredefinitoparagrafo"/>
    <w:uiPriority w:val="99"/>
    <w:unhideWhenUsed/>
    <w:rsid w:val="00567615"/>
    <w:rPr>
      <w:color w:val="0000FF" w:themeColor="hyperlink"/>
      <w:u w:val="single"/>
    </w:rPr>
  </w:style>
  <w:style w:type="paragraph" w:styleId="Paragrafoelenco">
    <w:name w:val="List Paragraph"/>
    <w:basedOn w:val="Normale"/>
    <w:uiPriority w:val="34"/>
    <w:qFormat/>
    <w:rsid w:val="004E5A39"/>
    <w:pPr>
      <w:ind w:left="720"/>
      <w:contextualSpacing/>
    </w:pPr>
  </w:style>
  <w:style w:type="character" w:customStyle="1" w:styleId="s1">
    <w:name w:val="s1"/>
    <w:basedOn w:val="Carpredefinitoparagrafo"/>
    <w:rsid w:val="004E5A39"/>
    <w:rPr>
      <w:rFonts w:ascii="Arial" w:hAnsi="Arial" w:cs="Arial" w:hint="default"/>
    </w:rPr>
  </w:style>
  <w:style w:type="paragraph" w:styleId="Didascalia">
    <w:name w:val="caption"/>
    <w:basedOn w:val="Normale"/>
    <w:next w:val="Normale"/>
    <w:qFormat/>
    <w:rsid w:val="004E5A39"/>
    <w:pPr>
      <w:spacing w:before="120" w:after="120" w:line="240" w:lineRule="auto"/>
    </w:pPr>
    <w:rPr>
      <w:rFonts w:ascii="Times New Roman" w:eastAsia="Times New Roman" w:hAnsi="Times New Roman" w:cs="Times New Roman"/>
      <w:b/>
      <w:sz w:val="24"/>
      <w:szCs w:val="20"/>
      <w:lang w:val="en-US"/>
    </w:rPr>
  </w:style>
  <w:style w:type="paragraph" w:styleId="PreformattatoHTML">
    <w:name w:val="HTML Preformatted"/>
    <w:basedOn w:val="Normale"/>
    <w:link w:val="PreformattatoHTMLCarattere"/>
    <w:uiPriority w:val="99"/>
    <w:unhideWhenUsed/>
    <w:rsid w:val="00BB2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basedOn w:val="Carpredefinitoparagrafo"/>
    <w:link w:val="PreformattatoHTML"/>
    <w:uiPriority w:val="99"/>
    <w:rsid w:val="00BB2AF8"/>
    <w:rPr>
      <w:rFonts w:ascii="Courier New" w:eastAsia="Times New Roman" w:hAnsi="Courier New" w:cs="Courier New"/>
      <w:sz w:val="20"/>
      <w:szCs w:val="20"/>
      <w:lang w:eastAsia="it-IT"/>
    </w:rPr>
  </w:style>
  <w:style w:type="paragraph" w:customStyle="1" w:styleId="TabletextrowsAgency">
    <w:name w:val="Table text rows (Agency)"/>
    <w:basedOn w:val="Normale"/>
    <w:semiHidden/>
    <w:rsid w:val="00265B61"/>
    <w:pPr>
      <w:spacing w:after="0" w:line="280" w:lineRule="exact"/>
    </w:pPr>
    <w:rPr>
      <w:rFonts w:ascii="Verdana" w:eastAsia="Times New Roman" w:hAnsi="Verdana" w:cs="Verdana"/>
      <w:sz w:val="18"/>
      <w:szCs w:val="18"/>
      <w:lang w:val="en-GB" w:eastAsia="zh-CN"/>
    </w:rPr>
  </w:style>
  <w:style w:type="paragraph" w:styleId="NormaleWeb">
    <w:name w:val="Normal (Web)"/>
    <w:basedOn w:val="Normale"/>
    <w:uiPriority w:val="99"/>
    <w:unhideWhenUsed/>
    <w:rsid w:val="00265B61"/>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Corpotesto">
    <w:name w:val="Body Text"/>
    <w:basedOn w:val="Normale"/>
    <w:link w:val="CorpotestoCarattere"/>
    <w:uiPriority w:val="99"/>
    <w:unhideWhenUsed/>
    <w:rsid w:val="004431E9"/>
    <w:pPr>
      <w:spacing w:after="120"/>
    </w:pPr>
  </w:style>
  <w:style w:type="character" w:customStyle="1" w:styleId="CorpotestoCarattere">
    <w:name w:val="Corpo testo Carattere"/>
    <w:basedOn w:val="Carpredefinitoparagrafo"/>
    <w:link w:val="Corpotesto"/>
    <w:uiPriority w:val="99"/>
    <w:rsid w:val="004431E9"/>
  </w:style>
  <w:style w:type="character" w:styleId="Rimandocommento">
    <w:name w:val="annotation reference"/>
    <w:basedOn w:val="Carpredefinitoparagrafo"/>
    <w:uiPriority w:val="99"/>
    <w:semiHidden/>
    <w:unhideWhenUsed/>
    <w:rsid w:val="009F401B"/>
    <w:rPr>
      <w:sz w:val="16"/>
      <w:szCs w:val="16"/>
    </w:rPr>
  </w:style>
  <w:style w:type="paragraph" w:styleId="Testocommento">
    <w:name w:val="annotation text"/>
    <w:basedOn w:val="Normale"/>
    <w:link w:val="TestocommentoCarattere"/>
    <w:uiPriority w:val="99"/>
    <w:unhideWhenUsed/>
    <w:rsid w:val="009F401B"/>
    <w:pPr>
      <w:spacing w:line="240" w:lineRule="auto"/>
    </w:pPr>
    <w:rPr>
      <w:sz w:val="20"/>
      <w:szCs w:val="20"/>
    </w:rPr>
  </w:style>
  <w:style w:type="character" w:customStyle="1" w:styleId="TestocommentoCarattere">
    <w:name w:val="Testo commento Carattere"/>
    <w:basedOn w:val="Carpredefinitoparagrafo"/>
    <w:link w:val="Testocommento"/>
    <w:uiPriority w:val="99"/>
    <w:rsid w:val="009F401B"/>
    <w:rPr>
      <w:sz w:val="20"/>
      <w:szCs w:val="20"/>
    </w:rPr>
  </w:style>
  <w:style w:type="paragraph" w:styleId="Soggettocommento">
    <w:name w:val="annotation subject"/>
    <w:basedOn w:val="Testocommento"/>
    <w:next w:val="Testocommento"/>
    <w:link w:val="SoggettocommentoCarattere"/>
    <w:uiPriority w:val="99"/>
    <w:semiHidden/>
    <w:unhideWhenUsed/>
    <w:rsid w:val="009F401B"/>
    <w:rPr>
      <w:b/>
      <w:bCs/>
    </w:rPr>
  </w:style>
  <w:style w:type="character" w:customStyle="1" w:styleId="SoggettocommentoCarattere">
    <w:name w:val="Soggetto commento Carattere"/>
    <w:basedOn w:val="TestocommentoCarattere"/>
    <w:link w:val="Soggettocommento"/>
    <w:uiPriority w:val="99"/>
    <w:semiHidden/>
    <w:rsid w:val="009F401B"/>
    <w:rPr>
      <w:b/>
      <w:bCs/>
      <w:sz w:val="20"/>
      <w:szCs w:val="20"/>
    </w:rPr>
  </w:style>
  <w:style w:type="paragraph" w:styleId="Revisione">
    <w:name w:val="Revision"/>
    <w:hidden/>
    <w:uiPriority w:val="99"/>
    <w:semiHidden/>
    <w:rsid w:val="00F410D4"/>
    <w:pPr>
      <w:spacing w:after="0" w:line="240" w:lineRule="auto"/>
    </w:pPr>
  </w:style>
  <w:style w:type="paragraph" w:styleId="Rientrocorpodeltesto">
    <w:name w:val="Body Text Indent"/>
    <w:basedOn w:val="Normale"/>
    <w:link w:val="RientrocorpodeltestoCarattere"/>
    <w:uiPriority w:val="99"/>
    <w:semiHidden/>
    <w:unhideWhenUsed/>
    <w:rsid w:val="00112B34"/>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112B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100773">
      <w:bodyDiv w:val="1"/>
      <w:marLeft w:val="0"/>
      <w:marRight w:val="0"/>
      <w:marTop w:val="0"/>
      <w:marBottom w:val="0"/>
      <w:divBdr>
        <w:top w:val="none" w:sz="0" w:space="0" w:color="auto"/>
        <w:left w:val="none" w:sz="0" w:space="0" w:color="auto"/>
        <w:bottom w:val="none" w:sz="0" w:space="0" w:color="auto"/>
        <w:right w:val="none" w:sz="0" w:space="0" w:color="auto"/>
      </w:divBdr>
    </w:div>
    <w:div w:id="44408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medicinali.aifa.gov.it/it/" TargetMode="External"/><Relationship Id="rId4" Type="http://schemas.openxmlformats.org/officeDocument/2006/relationships/numbering" Target="numbering.xml"/><Relationship Id="rId9" Type="http://schemas.openxmlformats.org/officeDocument/2006/relationships/hyperlink" Target="https://medicinali.aifa.gov.it/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b304709-7579-4182-a87b-d3ad7b116d0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045706052E1DBD49AE359BC5EC53C6C6" ma:contentTypeVersion="15" ma:contentTypeDescription="Creare un nuovo documento." ma:contentTypeScope="" ma:versionID="294336cc6d21a2ce8734c09d31543f94">
  <xsd:schema xmlns:xsd="http://www.w3.org/2001/XMLSchema" xmlns:xs="http://www.w3.org/2001/XMLSchema" xmlns:p="http://schemas.microsoft.com/office/2006/metadata/properties" xmlns:ns3="db304709-7579-4182-a87b-d3ad7b116d00" xmlns:ns4="0e923799-eba8-4ee9-8e8c-8877b9b7de34" targetNamespace="http://schemas.microsoft.com/office/2006/metadata/properties" ma:root="true" ma:fieldsID="0cb19d5479d3276e5282be56b131d5d6" ns3:_="" ns4:_="">
    <xsd:import namespace="db304709-7579-4182-a87b-d3ad7b116d00"/>
    <xsd:import namespace="0e923799-eba8-4ee9-8e8c-8877b9b7de34"/>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04709-7579-4182-a87b-d3ad7b116d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ystemTags" ma:index="15" nillable="true" ma:displayName="MediaServiceSystemTags" ma:hidden="true" ma:internalName="MediaServiceSystemTags" ma:readOnly="true">
      <xsd:simpleType>
        <xsd:restriction base="dms:Note"/>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923799-eba8-4ee9-8e8c-8877b9b7de34"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element name="SharingHintHash" ma:index="13"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B85B20-969D-4563-ACA5-6B204E836FB7}">
  <ds:schemaRefs>
    <ds:schemaRef ds:uri="http://schemas.microsoft.com/office/2006/metadata/properties"/>
    <ds:schemaRef ds:uri="http://schemas.microsoft.com/office/infopath/2007/PartnerControls"/>
    <ds:schemaRef ds:uri="db304709-7579-4182-a87b-d3ad7b116d00"/>
  </ds:schemaRefs>
</ds:datastoreItem>
</file>

<file path=customXml/itemProps2.xml><?xml version="1.0" encoding="utf-8"?>
<ds:datastoreItem xmlns:ds="http://schemas.openxmlformats.org/officeDocument/2006/customXml" ds:itemID="{63C7861B-8254-4F42-A208-AD446F86B3DC}">
  <ds:schemaRefs>
    <ds:schemaRef ds:uri="http://schemas.microsoft.com/sharepoint/v3/contenttype/forms"/>
  </ds:schemaRefs>
</ds:datastoreItem>
</file>

<file path=customXml/itemProps3.xml><?xml version="1.0" encoding="utf-8"?>
<ds:datastoreItem xmlns:ds="http://schemas.openxmlformats.org/officeDocument/2006/customXml" ds:itemID="{040EC03C-580A-4402-B02D-14FF13BD77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04709-7579-4182-a87b-d3ad7b116d00"/>
    <ds:schemaRef ds:uri="0e923799-eba8-4ee9-8e8c-8877b9b7d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4017</Words>
  <Characters>22897</Characters>
  <Application>Microsoft Office Word</Application>
  <DocSecurity>0</DocSecurity>
  <Lines>190</Lines>
  <Paragraphs>53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ENTEROGERMINA</vt:lpstr>
      <vt:lpstr>ENTEROGERMINA</vt:lpstr>
    </vt:vector>
  </TitlesOfParts>
  <Company/>
  <LinksUpToDate>false</LinksUpToDate>
  <CharactersWithSpaces>26861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AIFA</dc:creator>
  <cp:revision>13</cp:revision>
  <cp:lastPrinted>2026-05-27T07:54:00Z</cp:lastPrinted>
  <dcterms:created xsi:type="dcterms:W3CDTF">2026-07-13T08:05:00Z</dcterms:created>
  <dcterms:modified xsi:type="dcterms:W3CDTF">2026-07-14T09:04:00Z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0x010100045706052E1DBD49AE359BC5EC53C6C6</vt:lpwstr>
  </property>
</Properties>
</file>